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i w:val="0"/>
          <w:color w:val="1F3864"/>
          <w:sz w:val="28"/>
        </w:rPr>
        <w:t>HEALTH INFORMATION MANAGEMENT - PRELIMINARY CODING WORKSHEET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Corwin Adeyle, RHIA, CCS - HIM Coding | Date: 05/21/2026 | Status: Draft for provider attestation | RE: Ondina Vasquell | MRN OV-3358104 | CSN-308852140</w:t>
      </w:r>
    </w:p>
    <w:p>
      <w:r>
        <w:rPr>
          <w:rFonts w:ascii="Arial" w:hAnsi="Arial"/>
          <w:b w:val="0"/>
          <w:i w:val="0"/>
          <w:color w:val="232830"/>
          <w:sz w:val="19"/>
        </w:rPr>
        <w:t>Preliminary code assignment for provider review and attestation. Please confirm or correct.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PROPOSED DIAGNOSES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Code family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Proposed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Basis stated by coder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Pressure injury / ulcer (L89 family)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Proposed as principal wound code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Foot ulcer noted on chart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Acute osteomyelitis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Proposed present on admission (Y)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MRI mentions marrow edema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Diabetes with complication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Proposed secondary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Diabetic patient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Acute kidney injury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Proposed secondary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Creatinine elevation on admission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Please attest to the proposed codes. If a code does not reflect the documentation, correct it and provide the supporting basis.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HIM Coding - awaiting provider attestation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