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05/27/2026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 West Medical, Room 5W-318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E. Vossmere,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KM-2026-051877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 Medicine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Physician Response to Clinical Documentation Query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PHYSICIAN RESPONSE TO CLINICAL DOCUMENTATION QUERY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Elian Vossmere, MD  |  Hospital Medicine  |  05/27/2026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Response to clinical documentation query of 05/26/2026</w:t>
      </w:r>
    </w:p>
    <w:p>
      <w:r>
        <w:rPr>
          <w:rFonts w:ascii="Arial" w:hAnsi="Arial"/>
          <w:b w:val="0"/>
          <w:i w:val="0"/>
          <w:color w:val="232830"/>
          <w:sz w:val="19"/>
        </w:rPr>
        <w:t>Korvin Merrow, MRN KM-6427819, admission 05/18/2026 to 05/24/2026. Responses below are mine and reflect the contemporaneous record. Dated 05/27/2026.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 1 - CKD staging: affirmed</w:t>
      </w:r>
    </w:p>
    <w:p>
      <w:r>
        <w:rPr>
          <w:rFonts w:ascii="Arial" w:hAnsi="Arial"/>
          <w:b w:val="0"/>
          <w:i w:val="0"/>
          <w:color w:val="232830"/>
          <w:sz w:val="19"/>
        </w:rPr>
        <w:t>Confirmed. Baseline chronic kidney disease stage 3 (baseline creatinine 1.6 to 1.8, eGFR 40 to 50, documented by nephrology and the outpatient record) with a superimposed acute kidney injury that resolved to baseline by laboratory criteria before discharge. Acute-on-chronic relationship is correct for specificity.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 2 - metabolic encephalopathy: declined</w:t>
      </w:r>
    </w:p>
    <w:p>
      <w:r>
        <w:rPr>
          <w:rFonts w:ascii="Arial" w:hAnsi="Arial"/>
          <w:b w:val="0"/>
          <w:i w:val="0"/>
          <w:color w:val="232830"/>
          <w:sz w:val="19"/>
        </w:rPr>
        <w:t>I am not adding this diagnosis. The contemporaneous record documents intermittent confusion and altered mentation as symptoms, observed by nursing and occupational therapy; no treating note establishes encephalopathy as a diagnosis, attributes the mentation change to a metabolic cause, or documents an encephalopathy-directed workup or treatment. Adding the diagnosis retrospectively, after discharge and outside the contemporaneous record, would not be supportable documentation. The record stands at the documented symptom level.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 3 - protein-calorie malnutrition: declined</w:t>
      </w:r>
    </w:p>
    <w:p>
      <w:r>
        <w:rPr>
          <w:rFonts w:ascii="Arial" w:hAnsi="Arial"/>
          <w:b w:val="0"/>
          <w:i w:val="0"/>
          <w:color w:val="232830"/>
          <w:sz w:val="19"/>
        </w:rPr>
        <w:t>I am not adding this diagnosis. Poor intake and functional decline are documented narratively, but no malnutrition criteria are documented: no anthropometrics, no severity assessment, and no dietitian evaluation appear in the record. If nutrition-risk capture matters for future encounters, I support a prospective nutrition assessment pathway at admission; I will not document a severity-staged diagnosis the record does not support.</w:t>
      </w:r>
    </w:p>
    <w:p>
      <w:r>
        <w:rPr>
          <w:rFonts w:ascii="Arial" w:hAnsi="Arial"/>
          <w:b w:val="0"/>
          <w:i w:val="0"/>
          <w:color w:val="232830"/>
          <w:sz w:val="19"/>
        </w:rPr>
        <w:t>Filed as an addendum to the encounter record.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Elian Vossmere, MD | Hospital Medicine, 5 West Medical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Physician Response to Clinical Documentation Query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