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SUMMARY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SUMMARY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not established. On culture-directed, renally dosed intravenous antibiotics, with Infectious Disease setting the step-down and total duration. AKI on CKD improving toward baseline, creatinine 1.6 from a peak of 2.1. Held home oral agents remain held pending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 FINALIZED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review's bone-health closure is not supported and is corrected. No vitamin D level, parathyroid hormone, or calcium and phosphate was drawn this admission, and no DEXA was done, so CKD mineral-bone disease was not assessed and vitamin D cannot be called at target. Continue cholecalciferol. Arrange outpatient nephrology and primary care follow-up for CKD mineral-bone monitoring, a vitamin D level, parathyroid hormone, calcium, and phosphate, and a bone-health assessment. Do not attest it as addressed.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the accurate items: insulin with endocrinology follow-up, renal recheck with nephrology and primary care, stable anemia of CKD on iron, home CPAP, and the up-to-date diabetic eye examination.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chronic disease review attested bone health and CKD mineral-bone disease as addressed with no workup done. The chart does not support this. CKD mineral-bone disease is left open for outpatient monitoring.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