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Hospital Medicine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05/24/2026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Tobias Renquist, MD (PGY-2)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DISCHARGE SUMMARY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DISCHARGE SUMMARY - LIMB-THREAT DIABETIC FOOT INFECTION (PHYSICIAN COMPLETION)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Tobias Renquist, MD (PGY-2) - Hospital Medicine | Cosign pending: Lillian Everet, MD | Date of Service: 05/24/2026 | Status: Draft started for attending completion and signature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05/24/2026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r>
        <w:rPr>
          <w:rFonts w:ascii="Arial" w:hAnsi="Arial"/>
          <w:b w:val="0"/>
          <w:i w:val="0"/>
          <w:color w:val="232830"/>
          <w:sz w:val="19"/>
        </w:rPr>
        <w:t>Started for discharge. Finalize the discharge summary for Mrs. Vasquell from her chart and the chronic disease management review, then this is ready for attending signature.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HOSPITAL COURSE SUMMARY</w:t>
      </w:r>
    </w:p>
    <w:p>
      <w:r>
        <w:rPr>
          <w:rFonts w:ascii="Arial" w:hAnsi="Arial"/>
          <w:b w:val="0"/>
          <w:i w:val="0"/>
          <w:color w:val="232830"/>
          <w:sz w:val="19"/>
        </w:rPr>
        <w:t>Limb-threatening left diabetic foot infection admitted 05/16, debrided hospital day 2 with a granulating base and no exposed bone. Deep-tissue culture grew MSSA and Streptococcus agalactiae. Soft-tissue infection improving: afebrile, WBC normalized to 8.9. Osteomyelitis not established. On culture-directed, renally dosed intravenous antibiotics, with Infectious Disease setting the step-down and total duration. AKI on CKD improving toward baseline, creatinine 1.6 from a peak of 2.1. Held home oral agents remain held pending renal recovery.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DISCHARGE DIAGNOSES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Limb-threatening left diabetic foot infection, MSSA and Streptococcus agalactiae, soft-tissue, improving.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Acute kidney injury on chronic kidney disease stage 3b, resolving.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Type 2 diabetes mellitus, insulin-treated. Peripheral arterial disease. Heart failure with preserved ejection fraction. Anemia of chronic kidney disease. Obstructive sleep apnea on home CPAP.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CHRONIC CONDITIONS AND HEALTH MAINTENANCE</w:t>
      </w:r>
    </w:p>
    <w:p>
      <w:r>
        <w:rPr>
          <w:rFonts w:ascii="Arial" w:hAnsi="Arial"/>
          <w:b w:val="0"/>
          <w:i w:val="0"/>
          <w:color w:val="232830"/>
          <w:sz w:val="19"/>
        </w:rPr>
        <w:t>Chronic disease and health-maintenance items were reviewed by care management (chronic disease management review, 05/23). Finalize this section from that review and the chart.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ITEMS TO FINALIZE AND ATTENDING ACTION</w:t>
      </w:r>
    </w:p>
    <w:p>
      <w:r>
        <w:rPr>
          <w:rFonts w:ascii="Arial" w:hAnsi="Arial"/>
          <w:b w:val="0"/>
          <w:i w:val="0"/>
          <w:color w:val="232830"/>
          <w:sz w:val="19"/>
        </w:rPr>
        <w:t>To be completed.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Drafted by Tobias Renquist, MD (PGY-2) on 05/24/2026; for completion and signature by Lillian Everet, MD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SUMMARY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SUMMARY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DISCHARGE SUMMARY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