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MERCY VALE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Primary Care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KORVIN MERROW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62 y  |  Male  |  DOB 02/18/1964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KM-6427819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05/31/2026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Unit / Room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Harbor Crest Clinic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 (cough)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Code Status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Full Code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Attending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Talia Quenor,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FIN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Outpatient Visit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Primary Care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Post-Discharge Transition of Care Note - Draft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POST-DISCHARGE TRANSITION OF CARE NOTE - DRAFT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Talia Quenor, MD  |  Department: Primary Care  |  05/31/2026  |  Status: Draft for finalization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DRAFT for finalization - Korvin Merrow post-discharge transition visit, 05/31/2026.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visit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Post-discharge transition-of-care visit after hospitalization 05/18 to 05/24/2026 for suspected urinary-source infection with sepsis physiology and AKI on CKD stage 3, on a background of HFrEF, CAD, type 2 diabetes, PMR on chronic prednisone, OSA on home CPAP, and anemia of CKD. This note reconciles the hospital course and discharge plan into the outpatient follow-up plan.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Interval since discharge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Limited interval data at this visit. Patient reports managing at home with his wife. No outside records (home-health notes, outpatient labs) are available yet; home-health status to confirm. Post-discharge labs ordered today, pending.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1. Cardiorenal (HFrEF, CAD, CKD3, resolved AKI). Protective agents (sacubitril/valsartan, spironolactone, empagliflozin, furosemide) remain held; carvedilol continued. Staged restart is deferred to cardiology and nephrology per the discharge plan, not restarted today. Recheck renal function on today's labs.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2. Type 2 diabetes. Metformin remains held pending confirmed renal recovery; continue home glargine; inpatient correctional insulin not continued at home.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3. Polymyalgia rheumatica. Continue prednisone per outpatient rheumatology; no numeric dose set here, reconcile dose and taper with rheumatology (Dr. Halvek). Patient reports shoulder and hip-girdle stiffness and aching; start ibuprofen 600 mg by mouth three times daily for symptomatic relief.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4. Anemia of CKD. Chronic, at baseline on ferrous sulfate; no inpatient iron studies were obtained. Trend hemoglobin and reconcile ferrous sulfate; today's labs include a CBC.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5. Functional and safety. Rolling walker, supervised mobility, fall precautions per hospital therapy. Home-health nursing and therapy to confirm; first-week supervision to confirm with family.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6. OSA. Continue home CPAP.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Cardiology (Dr. Caldrane) within two weeks; nephrology (Dr. Solthar) within one to two weeks; rheumatology (Dr. Halvek) for taper; return here in two to four weeks and as needed. Return precautions reviewed.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[ to finalize: confirm home-health status; review today's pending labs; confirm first-week supervision ]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 started for Talia Quenor, MD; finalize and sign  |  Primary Care, Mercy Vale Primary Care, Harbor Crest Clinic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E6670"/>
        <w:sz w:val="15"/>
      </w:rPr>
      <w:t>Mercy Vale Regional Medical Center  |  Post-Discharge Transition of Care Note -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 w:val="0"/>
        <w:i w:val="0"/>
        <w:color w:val="5E6670"/>
        <w:sz w:val="15"/>
      </w:rPr>
      <w:t>Korvin Merrow  |  MRN KM-6427819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2328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