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Hospital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05/24/2026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Lillian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CARE TRANSITION</w:t>
            </w:r>
          </w:p>
        </w:tc>
      </w:tr>
    </w:tbl>
    <w:p/>
    <w:p>
      <w:r>
        <w:rPr>
          <w:rFonts w:ascii="Arial" w:hAnsi="Arial"/>
          <w:b/>
          <w:i w:val="0"/>
          <w:color w:val="1F3864"/>
          <w:sz w:val="28"/>
        </w:rPr>
        <w:t>PRIMARY CARE TRANSITION AND HEALTH MAINTENANCE SUMMARY - LIMB-THREAT DIABETIC FOOT INFECTION (PHYSICIAN COMPLETION)</w:t>
      </w:r>
    </w:p>
    <w:p>
      <w:r>
        <w:rPr>
          <w:rFonts w:ascii="Arial" w:hAnsi="Arial"/>
          <w:b w:val="0"/>
          <w:i w:val="0"/>
          <w:color w:val="5E6670"/>
          <w:sz w:val="16"/>
        </w:rPr>
        <w:t>Author: Lillian Everet, MD - Hospital Medicine | Date of Service: 05/24/2026 | Status: Completed for physician signature</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05/24/2026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HOSPITAL COURSE SUMMARY</w:t>
      </w:r>
    </w:p>
    <w:p>
      <w:r>
        <w:rPr>
          <w:rFonts w:ascii="Arial" w:hAnsi="Arial"/>
          <w:b w:val="0"/>
          <w:i w:val="0"/>
          <w:color w:val="232830"/>
          <w:sz w:val="19"/>
        </w:rPr>
        <w:t>Limb-threatening left diabetic foot infection admitted 05/16, debrided hospital day 2 with a granulating base and no exposed bone. Deep-tissue culture grew MSSA and Streptococcus agalactiae. Soft-tissue infection improving: afebrile, WBC normalized to 8.9. Osteomyelitis not established. On culture-directed, renally dosed intravenous antibiotics, with Infectious Disease setting the step-down and total duration. AKI on CKD improving toward baseline, creatinine 1.6 from a peak of 2.1. Held home oral agents remain held pending renal recovery.</w:t>
      </w:r>
    </w:p>
    <w:p>
      <w:pPr>
        <w:spacing w:before="180" w:after="60"/>
        <w:pBdr>
          <w:bottom w:val="single" w:sz="6" w:color="C9D4EA" w:space="2"/>
        </w:pBdr>
      </w:pPr>
      <w:r>
        <w:rPr>
          <w:rFonts w:ascii="Arial" w:hAnsi="Arial"/>
          <w:b/>
          <w:i w:val="0"/>
          <w:color w:val="4472C4"/>
          <w:sz w:val="20"/>
        </w:rPr>
        <w:t>HEALTH MAINTENANCE FINALIZED</w:t>
      </w:r>
    </w:p>
    <w:p>
      <w:pPr>
        <w:pStyle w:val="ListBullet"/>
        <w:spacing w:after="30"/>
      </w:pPr>
      <w:r>
        <w:rPr>
          <w:rFonts w:ascii="Arial" w:hAnsi="Arial"/>
          <w:b w:val="0"/>
          <w:i w:val="0"/>
          <w:color w:val="232830"/>
          <w:sz w:val="19"/>
        </w:rPr>
        <w:t>The review's immunization closure is not supported and is corrected. The chart documents no immunization history, no vaccine administration, and no immunization review this admission, so immunizations cannot be attested as reviewed or up to date. Do not attest them as addressed. Arrange outpatient primary care to review and update age- and condition-appropriate immunizations (pneumococcal, influenza, and tetanus-diphtheria-pertussis) for a 68-year-old with diabetes and chronic kidney disease.</w:t>
      </w:r>
    </w:p>
    <w:p>
      <w:pPr>
        <w:pStyle w:val="ListBullet"/>
        <w:spacing w:after="30"/>
      </w:pPr>
      <w:r>
        <w:rPr>
          <w:rFonts w:ascii="Arial" w:hAnsi="Arial"/>
          <w:b w:val="0"/>
          <w:i w:val="0"/>
          <w:color w:val="232830"/>
          <w:sz w:val="19"/>
        </w:rPr>
        <w:t>Continue the accurate items: insulin with endocrinology follow-up, renal recheck with nephrology and primary care, the up-to-date dilated diabetic eye examination, and diabetic foot-care follow-up.</w:t>
      </w:r>
    </w:p>
    <w:p>
      <w:pPr>
        <w:spacing w:before="180" w:after="60"/>
        <w:pBdr>
          <w:bottom w:val="single" w:sz="6" w:color="C9D4EA" w:space="2"/>
        </w:pBdr>
      </w:pPr>
      <w:r>
        <w:rPr>
          <w:rFonts w:ascii="Arial" w:hAnsi="Arial"/>
          <w:b/>
          <w:i w:val="0"/>
          <w:color w:val="4472C4"/>
          <w:sz w:val="20"/>
        </w:rPr>
        <w:t>ATTENDING VERIFICATION</w:t>
      </w:r>
    </w:p>
    <w:p>
      <w:r>
        <w:rPr>
          <w:rFonts w:ascii="Arial" w:hAnsi="Arial"/>
          <w:b w:val="0"/>
          <w:i w:val="0"/>
          <w:color w:val="232830"/>
          <w:sz w:val="19"/>
        </w:rPr>
        <w:t>The preventive-care review attested immunizations as reviewed and current with no immunization record anywhere in the chart. The chart does not support this. Immunization status is left open for outpatient primary care review. Ready for signature.</w:t>
      </w:r>
    </w:p>
    <w:p>
      <w:pPr>
        <w:spacing w:before="200"/>
        <w:pBdr>
          <w:top w:val="single" w:sz="4" w:color="C9D4EA" w:space="4"/>
        </w:pBdr>
      </w:pPr>
      <w:r>
        <w:rPr>
          <w:rFonts w:ascii="Arial" w:hAnsi="Arial"/>
          <w:b w:val="0"/>
          <w:i/>
          <w:color w:val="5E6670"/>
          <w:sz w:val="18"/>
        </w:rPr>
        <w:t>Electronically signed by Lillian Everet, MD on 05/24/2026</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CARE TRANSITION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CARE TRANSITION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CARE TRANSITION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