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Peer Review Case Analysis, Post-Acute Care Coordination,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transition-note peer review,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06/13/2025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06/19/2025,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peer review</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nine approved workflows across eight structural categories, with Task 1 as the integration anchor and Claims Appeal shared between Task 1 and Task 7.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Peer Review</w:t>
      </w:r>
    </w:p>
    <w:p>
      <w:pPr/>
      <w:r>
        <w:rPr>
          <w:color w:val="262B33"/>
          <w:sz w:val="16"/>
        </w:rPr>
        <w:t>Capability: a physician peer review of Mrs. Lydell's transition care that adjudicates whether the documented decisions met the standard of care, catching two deficiencies a complete signed resident note carries.</w:t>
      </w:r>
    </w:p>
    <w:p>
      <w:pPr/>
      <w:r>
        <w:rPr>
          <w:color w:val="262B33"/>
          <w:sz w:val="16"/>
        </w:rPr>
        <w:t>Workflow: Peer Review Case Analysis, requested by the peer review committee.</w:t>
      </w:r>
    </w:p>
    <w:p>
      <w:pPr/>
      <w:r>
        <w:rPr>
          <w:color w:val="262B33"/>
          <w:sz w:val="19"/>
        </w:rPr>
        <w:t>Anchor: 06/21/2025 at 08:30. Priority: P2. Difficulty: high. Time estimate: 25 to 35 minutes, reviewing the signed note against the respiratory, renal, and medication documentation.</w:t>
      </w:r>
    </w:p>
    <w:p>
      <w:pPr/>
      <w:r>
        <w:rPr>
          <w:color w:val="262B33"/>
          <w:sz w:val="16"/>
        </w:rPr>
        <w:t>Expected Output: a peer-review determination report on Mrs. Lydell's transition care, with a case summary, a standard-of-care analysis, and an outcome classification of appropriate care versus opportunity for improvement. Format: a peer-review determination report. Register: peer review committee. Length: 400 to 650 words. The resident note (E1-T4) is complete and signed, but it clears the patient on oxygen as stable on the home setup and silently resumes the held cardiorenal and diabetes agents at discharge. Correct responses catch the oxygen error against the documented exertional desaturation and portable-oxygen requirement, catch the silent resumption of empagliflozin, spironolactone, losartan, and metformin and keep them as deferred restarts assigned to named owners, flag the volume status and follow-up ownership the note closes that the chart leaves open, note the home sliding-scale insulin de-escalation, and confirm the rest of the note is accurate rather than re-litigating it. Grader anchors: the oxygen clearance flagged and corrected to the exertional-desaturation and portable-oxygen reality; the silent held-agent resumption flagged and corrected to deferred, parameter-gated restarts with owners; the prematurely closed volume and follow-up items reopened; the home sliding-scale insulin de-escalation noted; the accurate remainder confirmed.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signed note silently resumes the held agents and the review lets it stand (shared world-level trap; primary here)</w:t>
            </w:r>
          </w:p>
        </w:tc>
        <w:tc>
          <w:tcPr>
            <w:tcW w:type="dxa" w:w="5040"/>
          </w:tcPr>
          <w:p>
            <w:r>
              <w:rPr>
                <w:color w:val="262B33"/>
                <w:sz w:val="16"/>
              </w:rPr>
              <w:t>Catch the resumption; keep empagliflozin, spironolactone, losartan, metformin as deferred restarts assigned to nephrology and primary care, not resumed by default (06/13, 06/15; hold orders, nephrology note)</w:t>
            </w:r>
          </w:p>
        </w:tc>
      </w:tr>
      <w:tr>
        <w:tc>
          <w:tcPr>
            <w:tcW w:type="dxa" w:w="5040"/>
          </w:tcPr>
          <w:p>
            <w:r>
              <w:rPr>
                <w:color w:val="262B33"/>
                <w:sz w:val="16"/>
              </w:rPr>
              <w:t>The note clears oxygen as adequate on the home setup</w:t>
            </w:r>
          </w:p>
        </w:tc>
        <w:tc>
          <w:tcPr>
            <w:tcW w:type="dxa" w:w="5040"/>
          </w:tcPr>
          <w:p>
            <w:r>
              <w:rPr>
                <w:color w:val="262B33"/>
                <w:sz w:val="16"/>
              </w:rPr>
              <w:t>Catch it against the documented exertional desaturation and the portable-oxygen requirement (06/17; respiratory therapy walk test, OT)</w:t>
            </w:r>
          </w:p>
        </w:tc>
      </w:tr>
      <w:tr>
        <w:tc>
          <w:tcPr>
            <w:tcW w:type="dxa" w:w="5040"/>
          </w:tcPr>
          <w:p>
            <w:r>
              <w:rPr>
                <w:color w:val="262B33"/>
                <w:sz w:val="16"/>
              </w:rPr>
              <w:t>The review accepts the note's closure of a still-open decision</w:t>
            </w:r>
          </w:p>
        </w:tc>
        <w:tc>
          <w:tcPr>
            <w:tcW w:type="dxa" w:w="5040"/>
          </w:tcPr>
          <w:p>
            <w:r>
              <w:rPr>
                <w:color w:val="262B33"/>
                <w:sz w:val="16"/>
              </w:rPr>
              <w:t>Reopen volume status and follow-up ownership where the chart leaves them open (full chart)</w:t>
            </w:r>
          </w:p>
        </w:tc>
      </w:tr>
      <w:tr>
        <w:tc>
          <w:tcPr>
            <w:tcW w:type="dxa" w:w="5040"/>
          </w:tcPr>
          <w:p>
            <w:r>
              <w:rPr>
                <w:color w:val="262B33"/>
                <w:sz w:val="16"/>
              </w:rPr>
              <w:t>Home sliding-scale insulin carried into the discharge regimen</w:t>
            </w:r>
          </w:p>
        </w:tc>
        <w:tc>
          <w:tcPr>
            <w:tcW w:type="dxa" w:w="5040"/>
          </w:tcPr>
          <w:p>
            <w:r>
              <w:rPr>
                <w:color w:val="262B33"/>
                <w:sz w:val="16"/>
              </w:rPr>
              <w:t>Flag the de-escalation of the inpatient prandial sliding scale to the home regimen the record supports (MAR, endocrine note)</w:t>
            </w:r>
          </w:p>
        </w:tc>
      </w:tr>
      <w:tr>
        <w:tc>
          <w:tcPr>
            <w:tcW w:type="dxa" w:w="5040"/>
          </w:tcPr>
          <w:p>
            <w:r>
              <w:rPr>
                <w:color w:val="262B33"/>
                <w:sz w:val="16"/>
              </w:rPr>
              <w:t>The review re-litigates the accurate parts of the note</w:t>
            </w:r>
          </w:p>
        </w:tc>
        <w:tc>
          <w:tcPr>
            <w:tcW w:type="dxa" w:w="5040"/>
          </w:tcPr>
          <w:p>
            <w:r>
              <w:rPr>
                <w:color w:val="262B33"/>
                <w:sz w:val="16"/>
              </w:rPr>
              <w:t>Confirm the accurate remainder; the review targets the unsafe items, not the whole note (E1-T4 note)</w:t>
            </w:r>
          </w:p>
        </w:tc>
      </w:tr>
    </w:tbl>
    <w:p>
      <w:pPr/>
      <w:r>
        <w:rPr>
          <w:color w:val="262B33"/>
          <w:sz w:val="16"/>
        </w:rPr>
        <w:t>Task-level files: E1-T4 Signed Resident Transition-of-Care Note (complete and signed; clears oxygen on the home setup and resumes the held agents, the two common errors to catch).</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My resident signed off on Mrs. Lydell's transition-of-care note and I want a second set of eyes before it goes in the chart. Review it against her record and tell me where it is unsafe or wrong and what it should say instead.</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full specialist referral letter authored from the chart that routes the open decisions to owners without over-settling the plan.</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authored in full from the chart that routes the open decisions to cardiology, nephrology, and primary care. Format: a specialist referral letter with a follow-up routing block. Register: referral and handoff. Length: 450 to 700 words.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letter reads as a settled plan (shared world-level trap; primary here)</w:t>
            </w:r>
          </w:p>
        </w:tc>
        <w:tc>
          <w:tcPr>
            <w:tcW w:type="dxa" w:w="5040"/>
          </w:tcPr>
          <w:p>
            <w:r>
              <w:rPr>
                <w:color w:val="262B33"/>
                <w:sz w:val="16"/>
              </w:rPr>
              <w:t>Keep the handoff a true open routing; do not assert the cardiorenal plan is finalized (06/19; progress note, nephrology note)</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Cardiorenal Follow-up Referral Request (external; the hospitalist's request to refer to cardiology and nephrology, the trigger; the letter is authored in full from the chart).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Please write the referral letter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Task 4's task-level input is a complete signed resident transition note that carries two realistic errors for the attending review to catch; Task 6's is a referral request that triggers a letter authored in full from the chart. Neither is a placeholder to be finished.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06/20/2026):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 Anchors Task 4 held-agent deferred-restart trap</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 Anchors Task 1 exertional-oxygen trap</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 Anchors Task 1 oxygen teach-back trap</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 Anchors Task 5 equipment-arranged-versus-delivered trap</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 Anchors Task 2 reconcile-to-active-record trap</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 Anchors Task 2 renal-dose-timing trap</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 Anchors Task 3 volume-read-as-readiness trap</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 Anchors Task 3 volume-versus-readiness trap</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 Anchors Task 1 reassuring-resting-saturation trap</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 Produced File, not a template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 Anchors Task 4 held-agent silent-resume trap</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 Anchors Task 5 duplicate-anticoagulant trap</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 Anchors Task 5 portable-oxygen-undelivered trap</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 Anchors Task 9 baseline-comparator trap</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 Anchors Task 7 home-support-overstated trap</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signed_resident_transition_note_06212025.docx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Complete signed resident transition note that clears oxygen on the home setup and silently resumes the held cardiorenal and diabetes agents, the two common errors the peer review must catch</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cardiorenal_referral_request_06222025.docx</w:t>
            </w:r>
          </w:p>
        </w:tc>
        <w:tc>
          <w:tcPr>
            <w:tcW w:type="dxa" w:w="1440"/>
          </w:tcPr>
          <w:p>
            <w:r>
              <w:rPr>
                <w:color w:val="262B33"/>
                <w:sz w:val="16"/>
              </w:rPr>
              <w:t>06/22/2025</w:t>
            </w:r>
          </w:p>
        </w:tc>
        <w:tc>
          <w:tcPr>
            <w:tcW w:type="dxa" w:w="3096"/>
          </w:tcPr>
          <w:p>
            <w:r>
              <w:rPr>
                <w:color w:val="262B33"/>
                <w:sz w:val="16"/>
              </w:rPr>
              <w:t>Custom Made (Custom_Referral_Request_Template.docx)</w:t>
            </w:r>
          </w:p>
        </w:tc>
        <w:tc>
          <w:tcPr>
            <w:tcW w:type="dxa" w:w="3485"/>
          </w:tcPr>
          <w:p>
            <w:r>
              <w:rPr>
                <w:color w:val="262B33"/>
                <w:sz w:val="16"/>
              </w:rPr>
              <w:t>Hospitalist referral request to cardiology and nephrology for cardiorenal follow-up; the trigger, the letter is authored in full from the chart</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redesigned tasks fit the same rule: Task 4 reviews a complete signed note for two realistic, documented resident errors and Task 6 is authored in full from the chart, so neither rests on a planted falsehood.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