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Family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06/09/2026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Esteban Murillo,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PROGRESS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CHRONIC DISEASE MANAGEMENT AND POST-HOSPITALIZATION FOLLOW-UP NOTE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Esteban Murillo, MD - Family Medicine | Date of Service: 06/09/2026 | Status: Completed for physician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06/09/2026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VISIT AND INTERVAL HISTORY</w:t>
      </w:r>
    </w:p>
    <w:p>
      <w:r>
        <w:rPr>
          <w:rFonts w:ascii="Arial" w:hAnsi="Arial"/>
          <w:b w:val="0"/>
          <w:i w:val="0"/>
          <w:color w:val="232830"/>
          <w:sz w:val="19"/>
        </w:rPr>
        <w:t>Post-hospitalization chronic disease management follow-up visit after a recent hospitalization. Mrs. Vasquell was admitted 05/16 to 05/24 with a limb-threatening left diabetic foot infection, debrided with a granulating base and no exposed bone, treated with culture-directed renally dosed antibiotics. Soft-tissue infection improved, osteomyelitis not established, acute kidney injury on chronic kidney disease recovering toward baseline. She is here for post-hospitalization follow-up and chronic disease management.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HEALTH MAINTENANCE FINALIZED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The rooming intake review attested immunizations as reviewed and up to date. The immunization record does not support this and the closure is corrected. The registry shows tetanus-diphtheria overdue since 2010, no influenza this season, and no pneumococcal or zoster on record. Immunizations are not up to date and are not attested as current.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Catch-up plan: administer or schedule pneumococcal vaccination and a tetanus-diphtheria booster today, give the seasonal influenza vaccine, and offer recombinant zoster, all appropriate for a 68-year-old with diabetes and chronic kidney disease, with renal dosing not a barrier for these vaccines.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Accurate items continued: insulin with endocrinology follow-up, renal recheck with nephrology, the current dilated diabetic eye examination, and diabetic foot-care follow-up.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PHYSICIAN VERIFICATION</w:t>
      </w:r>
    </w:p>
    <w:p>
      <w:r>
        <w:rPr>
          <w:rFonts w:ascii="Arial" w:hAnsi="Arial"/>
          <w:b w:val="0"/>
          <w:i w:val="0"/>
          <w:color w:val="232830"/>
          <w:sz w:val="19"/>
        </w:rPr>
        <w:t>The intake review's immunization closure was reconciled against the immunization record, which documents overdue and missing vaccinations. Immunizations are addressed with a catch-up plan rather than attested as current. Ready for signature.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Esteban Murillo, MD on 06/09/2026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