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See note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IMMUNIZATION RECORD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IMMUNIZATION RECORD - STATE REGISTRY QUERY</w:t>
      </w:r>
    </w:p>
    <w:p>
      <w:r>
        <w:rPr>
          <w:rFonts w:ascii="Arial" w:hAnsi="Arial"/>
          <w:b w:val="0"/>
          <w:i w:val="0"/>
          <w:color w:val="5E6670"/>
          <w:sz w:val="16"/>
        </w:rPr>
        <w:t>Source: State Immunization Information System query | Retrieved: 06/09/2026 | Status: Reconciled to the chart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DOCUMENTED IMMUNIZATIONS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Tetanus-diphtheria (Td): last dose 06/2010. Overdue (more than ten years).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Influenza: no dose recorded for the 2025 to 2026 season.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Pneumococcal (PCV20 or PPSV23): none on record.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Zoster (recombinant): none on record.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COVID-19: primary series 2021; no record since.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REGISTRY NOTE</w:t>
      </w:r>
    </w:p>
    <w:p>
      <w:r>
        <w:rPr>
          <w:rFonts w:ascii="Arial" w:hAnsi="Arial"/>
          <w:b w:val="0"/>
          <w:i w:val="0"/>
          <w:color w:val="232830"/>
          <w:sz w:val="19"/>
        </w:rPr>
        <w:t>No pneumococcal or zoster vaccination is documented, tetanus-diphtheria is past the ten-year interval, and no influenza dose is recorded for the current season. Several age- and condition-indicated immunizations are not current.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State Immunization Information System, retrieved 06/09/2026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IMMUNIZATION RECORD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IMMUNIZATION RECORD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IMMUNIZATION RECORD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