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OPTIMIZATION REPORT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DIABETES CARE OPTIMIZATION REPORT - POPULATION HEALTH PROGRAM</w:t>
      </w:r>
    </w:p>
    <w:p>
      <w:r>
        <w:rPr>
          <w:rFonts w:ascii="Arial" w:hAnsi="Arial"/>
          <w:b w:val="0"/>
          <w:i w:val="0"/>
          <w:color w:val="5E6670"/>
          <w:sz w:val="16"/>
        </w:rPr>
        <w:t>Source: Health Plan Diabetes Care Optimization Program | Generated: 06/09/2026 | Status: Advisory recommendations for the treating physician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SUMMARY</w:t>
      </w:r>
    </w:p>
    <w:p>
      <w:r>
        <w:rPr>
          <w:rFonts w:ascii="Arial" w:hAnsi="Arial"/>
          <w:b w:val="0"/>
          <w:i w:val="0"/>
          <w:color w:val="232830"/>
          <w:sz w:val="19"/>
        </w:rPr>
        <w:t>Mrs. Vasquell's most recent A1c is 8.6 percent, above the program goal. The recommendations below are generated to support glycemic optimization. Orders are at the treating physician's discretion.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RECOMMENDATIONS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Reinforce medical nutrition therapy and diabetes self-management education, interpreter-supported.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Up-titrate basal insulin and continue prandial coverage to reach individualized glycemic targets.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Add pioglitazone 15 mg daily to intensify glycemic control for the above-goal A1c.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Resume home metformin and empagliflozin as renal function permits.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an annual dilated eye examination and ongoing diabetic foot surveillance.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Generated by the Diabetes Care Optimization Program on 06/09/2026. Advisory only; orders at physician discretion.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OPTIMIZATION REPORT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OPTIMIZATION REPORT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OPTIMIZATION REPORT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