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ac4e2977d914cebc3d870f5201de650efd787c"/>
    <w:p>
      <w:pPr>
        <w:pStyle w:val="Heading1"/>
      </w:pPr>
      <w:r>
        <w:t xml:space="preserve">FI-S02 - Remote Sleep-Study / OSA Provenance Summary</w:t>
      </w:r>
    </w:p>
    <w:p>
      <w:pPr>
        <w:pStyle w:val="FirstParagraph"/>
      </w:pPr>
      <w:r>
        <w:t xml:space="preserve">File ID: FI-S02</w:t>
      </w:r>
    </w:p>
    <w:p>
      <w:pPr>
        <w:pStyle w:val="BodyText"/>
      </w:pPr>
      <w:r>
        <w:t xml:space="preserve">File Type: Remote sleep-study / OSA provenance summary</w:t>
      </w:r>
    </w:p>
    <w:p>
      <w:pPr>
        <w:pStyle w:val="BodyText"/>
      </w:pPr>
      <w:r>
        <w:t xml:space="preserve">Level: Supplementary</w:t>
      </w:r>
    </w:p>
    <w:p>
      <w:pPr>
        <w:pStyle w:val="BodyText"/>
      </w:pPr>
      <w:r>
        <w:t xml:space="preserve">Approximate Date / Anchor: Pre-admission provenance</w:t>
      </w:r>
    </w:p>
    <w:p>
      <w:pPr>
        <w:pStyle w:val="BodyText"/>
      </w:pPr>
      <w:r>
        <w:t xml:space="preserve">Author / Source: PCP or sleep-history source</w:t>
      </w:r>
    </w:p>
    <w:p>
      <w:pPr>
        <w:pStyle w:val="BodyText"/>
      </w:pPr>
      <w:r>
        <w:t xml:space="preserve">Tool / Origin: Writer-created supplementary provenance file</w:t>
      </w:r>
    </w:p>
    <w:p>
      <w:pPr>
        <w:pStyle w:val="BodyText"/>
      </w:pPr>
      <w:r>
        <w:t xml:space="preserve">Purpose: Support OSA background and chronic reserve context without explaining the acute presentation.</w:t>
      </w:r>
    </w:p>
    <w:p>
      <w:pPr>
        <w:pStyle w:val="BodyText"/>
      </w:pPr>
      <w:r>
        <w:t xml:space="preserve">Supported Workflow(s) / Trap(s) / Friction(s): Hospital Discharge Summary Generation; Discharge Planning Documentation; background functional reserve support</w:t>
      </w:r>
    </w:p>
    <w:p>
      <w:pPr>
        <w:pStyle w:val="BodyText"/>
      </w:pPr>
      <w:r>
        <w:t xml:space="preserve">World Boundary: contains only remote pre-admission OSA provenance and background context. It contains no new hypoxemia arc, acute respiratory failure, final discharge-readiness decision, task framing, expected output, golden response, grader guidance, AutoQC response, DOCX artifact, or submission material.</w:t>
      </w:r>
    </w:p>
    <w:bookmarkStart w:id="9" w:name="remote-sleep-history-provenance"/>
    <w:p>
      <w:pPr>
        <w:pStyle w:val="Heading2"/>
      </w:pPr>
      <w:r>
        <w:t xml:space="preserve">Remote Sleep History Provenance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Source type: historical sleep-study / primary care provenance summary</w:t>
      </w:r>
    </w:p>
    <w:p>
      <w:pPr>
        <w:pStyle w:val="BodyText"/>
      </w:pPr>
      <w:r>
        <w:t xml:space="preserve">Korvin has obstructive sleep apnea documented in prior outpatient history. The remote sleep-study provenance supports why OSA appears in his chronic condition burden.</w:t>
      </w:r>
    </w:p>
    <w:p>
      <w:pPr>
        <w:pStyle w:val="BodyText"/>
      </w:pPr>
      <w:r>
        <w:t xml:space="preserve">This supplementary file is background context only. It is not an inpatient respiratory consult, discharge-planning decision, functional assessment, or explanation for the hospitalization.</w:t>
      </w:r>
    </w:p>
    <w:bookmarkEnd w:id="9"/>
    <w:bookmarkStart w:id="10" w:name="background-context"/>
    <w:p>
      <w:pPr>
        <w:pStyle w:val="Heading2"/>
      </w:pPr>
      <w:r>
        <w:t xml:space="preserve">Background Context</w:t>
      </w:r>
    </w:p>
    <w:p>
      <w:pPr>
        <w:pStyle w:val="FirstParagraph"/>
      </w:pPr>
      <w:r>
        <w:t xml:space="preserve">OSA is part of Korvin’s chronic baseline profile.</w:t>
      </w:r>
    </w:p>
    <w:p>
      <w:pPr>
        <w:pStyle w:val="BodyText"/>
      </w:pPr>
      <w:r>
        <w:t xml:space="preserve">Its presence may contribute to general physiologic reserve context, but it does not explain the acute presentation.</w:t>
      </w:r>
    </w:p>
    <w:p>
      <w:pPr>
        <w:pStyle w:val="BodyText"/>
      </w:pPr>
      <w:r>
        <w:t xml:space="preserve">The current hospitalization remains a mixed-physiology world involving suspected infection physiology, poor intake, AKI on CKD, HFrEF/CAD medication complexity, steroid uncertainty, diabetic neuropathy, deconditioning, and discharge-safety concerns.</w:t>
      </w:r>
    </w:p>
    <w:p>
      <w:pPr>
        <w:pStyle w:val="BodyText"/>
      </w:pPr>
      <w:r>
        <w:t xml:space="preserve">This file does not add:</w:t>
      </w:r>
    </w:p>
    <w:p>
      <w:pPr>
        <w:pStyle w:val="Compact"/>
        <w:numPr>
          <w:ilvl w:val="0"/>
          <w:numId w:val="1001"/>
        </w:numPr>
      </w:pPr>
      <w:r>
        <w:t xml:space="preserve">new oxygen requirements;</w:t>
      </w:r>
    </w:p>
    <w:p>
      <w:pPr>
        <w:pStyle w:val="Compact"/>
        <w:numPr>
          <w:ilvl w:val="0"/>
          <w:numId w:val="1001"/>
        </w:numPr>
      </w:pPr>
      <w:r>
        <w:t xml:space="preserve">acute respiratory failure;</w:t>
      </w:r>
    </w:p>
    <w:p>
      <w:pPr>
        <w:pStyle w:val="Compact"/>
        <w:numPr>
          <w:ilvl w:val="0"/>
          <w:numId w:val="1001"/>
        </w:numPr>
      </w:pPr>
      <w:r>
        <w:t xml:space="preserve">new sleep-study findings;</w:t>
      </w:r>
    </w:p>
    <w:p>
      <w:pPr>
        <w:pStyle w:val="Compact"/>
        <w:numPr>
          <w:ilvl w:val="0"/>
          <w:numId w:val="1001"/>
        </w:numPr>
      </w:pPr>
      <w:r>
        <w:t xml:space="preserve">a hidden cause of altered mental status;</w:t>
      </w:r>
    </w:p>
    <w:p>
      <w:pPr>
        <w:pStyle w:val="Compact"/>
        <w:numPr>
          <w:ilvl w:val="0"/>
          <w:numId w:val="1001"/>
        </w:numPr>
      </w:pPr>
      <w:r>
        <w:t xml:space="preserve">a final functional explanation.</w:t>
      </w:r>
    </w:p>
    <w:bookmarkEnd w:id="10"/>
    <w:bookmarkStart w:id="11" w:name="X4467975f1ffd51ba416a8724da74a54b99342db"/>
    <w:p>
      <w:pPr>
        <w:pStyle w:val="Heading2"/>
      </w:pPr>
      <w:r>
        <w:t xml:space="preserve">Relationship To Functional And Discharge Planning Context</w:t>
      </w:r>
    </w:p>
    <w:p>
      <w:pPr>
        <w:pStyle w:val="FirstParagraph"/>
      </w:pPr>
      <w:r>
        <w:t xml:space="preserve">FI-S02 may help a reviewer understand chronic reserve and background comorbidity burden.</w:t>
      </w:r>
    </w:p>
    <w:p>
      <w:pPr>
        <w:pStyle w:val="BodyText"/>
      </w:pPr>
      <w:r>
        <w:t xml:space="preserve">It does not determine whether Korvin is safe for discharge.</w:t>
      </w:r>
    </w:p>
    <w:p>
      <w:pPr>
        <w:pStyle w:val="BodyText"/>
      </w:pPr>
      <w:r>
        <w:t xml:space="preserve">Functional and discharge-readiness reasoning still requires synthesis of:</w:t>
      </w:r>
    </w:p>
    <w:p>
      <w:pPr>
        <w:pStyle w:val="Compact"/>
        <w:numPr>
          <w:ilvl w:val="0"/>
          <w:numId w:val="1002"/>
        </w:numPr>
      </w:pPr>
      <w:r>
        <w:t xml:space="preserve">nursing observations;</w:t>
      </w:r>
    </w:p>
    <w:p>
      <w:pPr>
        <w:pStyle w:val="Compact"/>
        <w:numPr>
          <w:ilvl w:val="0"/>
          <w:numId w:val="1002"/>
        </w:numPr>
      </w:pPr>
      <w:r>
        <w:t xml:space="preserve">PT mobility assessment;</w:t>
      </w:r>
    </w:p>
    <w:p>
      <w:pPr>
        <w:pStyle w:val="Compact"/>
        <w:numPr>
          <w:ilvl w:val="0"/>
          <w:numId w:val="1002"/>
        </w:numPr>
      </w:pPr>
      <w:r>
        <w:t xml:space="preserve">OT ADL and medication-management observations;</w:t>
      </w:r>
    </w:p>
    <w:p>
      <w:pPr>
        <w:pStyle w:val="Compact"/>
        <w:numPr>
          <w:ilvl w:val="0"/>
          <w:numId w:val="1002"/>
        </w:numPr>
      </w:pPr>
      <w:r>
        <w:t xml:space="preserve">family baseline report;</w:t>
      </w:r>
    </w:p>
    <w:p>
      <w:pPr>
        <w:pStyle w:val="Compact"/>
        <w:numPr>
          <w:ilvl w:val="0"/>
          <w:numId w:val="1002"/>
        </w:numPr>
      </w:pPr>
      <w:r>
        <w:t xml:space="preserve">case management / social work logistics;</w:t>
      </w:r>
    </w:p>
    <w:p>
      <w:pPr>
        <w:pStyle w:val="Compact"/>
        <w:numPr>
          <w:ilvl w:val="0"/>
          <w:numId w:val="1002"/>
        </w:numPr>
      </w:pPr>
      <w:r>
        <w:t xml:space="preserve">hospitalist synthesis;</w:t>
      </w:r>
    </w:p>
    <w:p>
      <w:pPr>
        <w:pStyle w:val="Compact"/>
        <w:numPr>
          <w:ilvl w:val="0"/>
          <w:numId w:val="1002"/>
        </w:numPr>
      </w:pPr>
      <w:r>
        <w:t xml:space="preserve">FI-W22 discharge-facing snapshot.</w:t>
      </w:r>
    </w:p>
    <w:p>
      <w:pPr>
        <w:pStyle w:val="FirstParagraph"/>
      </w:pPr>
      <w:r>
        <w:t xml:space="preserve">FI-S02 must not substitute for FI-W17, FI-W18, FI-W19, FI-W20, FI-W21, FI-W22, FI-T03, FI-T05, or FI-T06.</w:t>
      </w:r>
    </w:p>
    <w:bookmarkEnd w:id="11"/>
    <w:bookmarkStart w:id="12" w:name="supplementary-interpretation"/>
    <w:p>
      <w:pPr>
        <w:pStyle w:val="Heading2"/>
      </w:pPr>
      <w:r>
        <w:t xml:space="preserve">Supplementary Interpretation</w:t>
      </w:r>
    </w:p>
    <w:p>
      <w:pPr>
        <w:pStyle w:val="FirstParagraph"/>
      </w:pPr>
      <w:r>
        <w:t xml:space="preserve">This file may support Hospital Discharge Summary Generation as chronic history background.</w:t>
      </w:r>
    </w:p>
    <w:p>
      <w:pPr>
        <w:pStyle w:val="BodyText"/>
      </w:pPr>
      <w:r>
        <w:t xml:space="preserve">This file may support Discharge Planning Documentation only as low-stakes chronic reserve texture.</w:t>
      </w:r>
    </w:p>
    <w:p>
      <w:pPr>
        <w:pStyle w:val="BodyText"/>
      </w:pPr>
      <w:r>
        <w:t xml:space="preserve">It is not a primary Trap #3 source.</w:t>
      </w:r>
    </w:p>
    <w:p>
      <w:pPr>
        <w:pStyle w:val="BodyText"/>
      </w:pPr>
      <w:r>
        <w:t xml:space="preserve">Trap #3 remains buried across nursing, PT, OT, family, and care-coordination world files. FI-S02 does not explain functional decline.</w:t>
      </w:r>
    </w:p>
    <w:bookmarkEnd w:id="12"/>
    <w:bookmarkStart w:id="13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FI-S02 must not become Trap #3 answer support.</w:t>
      </w:r>
    </w:p>
    <w:p>
      <w:pPr>
        <w:pStyle w:val="BodyText"/>
      </w:pPr>
      <w:r>
        <w:t xml:space="preserve">It must not:</w:t>
      </w:r>
    </w:p>
    <w:p>
      <w:pPr>
        <w:pStyle w:val="Compact"/>
        <w:numPr>
          <w:ilvl w:val="0"/>
          <w:numId w:val="1003"/>
        </w:numPr>
      </w:pPr>
      <w:r>
        <w:t xml:space="preserve">explain the near-fall;</w:t>
      </w:r>
    </w:p>
    <w:p>
      <w:pPr>
        <w:pStyle w:val="Compact"/>
        <w:numPr>
          <w:ilvl w:val="0"/>
          <w:numId w:val="1003"/>
        </w:numPr>
      </w:pPr>
      <w:r>
        <w:t xml:space="preserve">explain functional decline;</w:t>
      </w:r>
    </w:p>
    <w:p>
      <w:pPr>
        <w:pStyle w:val="Compact"/>
        <w:numPr>
          <w:ilvl w:val="0"/>
          <w:numId w:val="1003"/>
        </w:numPr>
      </w:pPr>
      <w:r>
        <w:t xml:space="preserve">prove discharge is safe or unsafe;</w:t>
      </w:r>
    </w:p>
    <w:p>
      <w:pPr>
        <w:pStyle w:val="Compact"/>
        <w:numPr>
          <w:ilvl w:val="0"/>
          <w:numId w:val="1003"/>
        </w:numPr>
      </w:pPr>
      <w:r>
        <w:t xml:space="preserve">create an acute respiratory arc;</w:t>
      </w:r>
    </w:p>
    <w:p>
      <w:pPr>
        <w:pStyle w:val="Compact"/>
        <w:numPr>
          <w:ilvl w:val="0"/>
          <w:numId w:val="1003"/>
        </w:numPr>
      </w:pPr>
      <w:r>
        <w:t xml:space="preserve">create hidden hypoxemia or respiratory failure;</w:t>
      </w:r>
    </w:p>
    <w:p>
      <w:pPr>
        <w:pStyle w:val="Compact"/>
        <w:numPr>
          <w:ilvl w:val="0"/>
          <w:numId w:val="1003"/>
        </w:numPr>
      </w:pPr>
      <w:r>
        <w:t xml:space="preserve">replace functional, family, nursing, or care-coordination sources.</w:t>
      </w:r>
    </w:p>
    <w:p>
      <w:pPr>
        <w:pStyle w:val="FirstParagraph"/>
      </w:pPr>
      <w:r>
        <w:t xml:space="preserve">No post-world information, discharge outcome, +7 follow-up information, +30 follow-up information, task prompt, expected output, golden response, grader guidance, AutoQC response, DOCX artifact, or submission material is present.</w:t>
      </w:r>
    </w:p>
    <w:bookmarkEnd w:id="13"/>
    <w:bookmarkEnd w:id="14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2026-06-04T06:11:20Z</dcterms:created>
  <dcterms:modified xsi:type="dcterms:W3CDTF">2026-06-04T06:11:20Z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