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85b274858a30526c6d6c3235f7edb9525ef177"/>
    <w:p>
      <w:pPr>
        <w:pStyle w:val="Heading1"/>
      </w:pPr>
      <w:r>
        <w:t xml:space="preserve">FI-S03 - Home Support / Equipment Logistics Reference</w:t>
      </w:r>
    </w:p>
    <w:p>
      <w:pPr>
        <w:pStyle w:val="FirstParagraph"/>
      </w:pPr>
      <w:r>
        <w:t xml:space="preserve">File ID: FI-S03</w:t>
      </w:r>
    </w:p>
    <w:p>
      <w:pPr>
        <w:pStyle w:val="BodyText"/>
      </w:pPr>
      <w:r>
        <w:t xml:space="preserve">File Type: Home support / equipment logistics reference</w:t>
      </w:r>
    </w:p>
    <w:p>
      <w:pPr>
        <w:pStyle w:val="BodyText"/>
      </w:pPr>
      <w:r>
        <w:t xml:space="preserve">Level: Supplementary</w:t>
      </w:r>
    </w:p>
    <w:p>
      <w:pPr>
        <w:pStyle w:val="BodyText"/>
      </w:pPr>
      <w:r>
        <w:t xml:space="preserve">Approximate Date / Anchor: HD5-HD6 through 05/23/2026 18:00</w:t>
      </w:r>
    </w:p>
    <w:p>
      <w:pPr>
        <w:pStyle w:val="BodyText"/>
      </w:pPr>
      <w:r>
        <w:t xml:space="preserve">Author / Source: Case Management / Social Work</w:t>
      </w:r>
    </w:p>
    <w:p>
      <w:pPr>
        <w:pStyle w:val="BodyText"/>
      </w:pPr>
      <w:r>
        <w:t xml:space="preserve">Tool / Origin: Writer-created supplementary administrative file</w:t>
      </w:r>
    </w:p>
    <w:p>
      <w:pPr>
        <w:pStyle w:val="BodyText"/>
      </w:pPr>
      <w:r>
        <w:t xml:space="preserve">Purpose: Add transition-planning texture around equipment, services, and home support without carrying sole discharge-safety evidence.</w:t>
      </w:r>
    </w:p>
    <w:p>
      <w:pPr>
        <w:pStyle w:val="BodyText"/>
      </w:pPr>
      <w:r>
        <w:t xml:space="preserve">Supported Workflow(s) / Trap(s) / Friction(s): Discharge Planning Documentation; Trap #5 secondary; Family vs Primary Team secondary</w:t>
      </w:r>
    </w:p>
    <w:p>
      <w:pPr>
        <w:pStyle w:val="BodyText"/>
      </w:pPr>
      <w:r>
        <w:t xml:space="preserve">World Boundary: contains only transition logistics available through 05/23/2026 at 18:00. It contains no completed discharge outcome, final safe/unsafe discharge conclusion, final services authorization, post-discharge follow-up, task framing, expected output, golden response, grader guidance, AutoQC response, DOCX artifact, or submission material.</w:t>
      </w:r>
    </w:p>
    <w:bookmarkStart w:id="9" w:name="X97125a49b75e0e7e5794985b73811adeab3ff59"/>
    <w:p>
      <w:pPr>
        <w:pStyle w:val="Heading2"/>
      </w:pPr>
      <w:r>
        <w:t xml:space="preserve">Home Support / Equipment Logistics Reference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Source type: Case Management / Social Work supplementary logistics reference</w:t>
      </w:r>
    </w:p>
    <w:p>
      <w:pPr>
        <w:pStyle w:val="BodyText"/>
      </w:pPr>
      <w:r>
        <w:t xml:space="preserve">Documentation window: HD5-HD6 before world close</w:t>
      </w:r>
    </w:p>
    <w:p>
      <w:pPr>
        <w:pStyle w:val="BodyText"/>
      </w:pPr>
      <w:r>
        <w:t xml:space="preserve">This file tracks low-stakes transition logistics under discussion before world close. It is not a discharge order, final home-care plan, final equipment authorization, final disposition decision, or answer file.</w:t>
      </w:r>
    </w:p>
    <w:bookmarkEnd w:id="9"/>
    <w:bookmarkStart w:id="10" w:name="logistics-items-under-review"/>
    <w:p>
      <w:pPr>
        <w:pStyle w:val="Heading2"/>
      </w:pPr>
      <w:r>
        <w:t xml:space="preserve">Logistics Items Under Review</w:t>
      </w:r>
    </w:p>
    <w:p>
      <w:pPr>
        <w:pStyle w:val="FirstParagraph"/>
      </w:pPr>
      <w:r>
        <w:t xml:space="preserve">Case Management / Social Work documented logistics questions that remain relevant if discharge planning continues.</w:t>
      </w:r>
    </w:p>
    <w:p>
      <w:pPr>
        <w:pStyle w:val="BodyText"/>
      </w:pPr>
      <w:r>
        <w:t xml:space="preserve">Items under review before world close:</w:t>
      </w:r>
    </w:p>
    <w:p>
      <w:pPr>
        <w:pStyle w:val="Compact"/>
        <w:numPr>
          <w:ilvl w:val="0"/>
          <w:numId w:val="1001"/>
        </w:numPr>
      </w:pPr>
      <w:r>
        <w:t xml:space="preserve">whether family supervision is available at the level ultimately recommended by the clinical team;</w:t>
      </w:r>
    </w:p>
    <w:p>
      <w:pPr>
        <w:pStyle w:val="Compact"/>
        <w:numPr>
          <w:ilvl w:val="0"/>
          <w:numId w:val="1001"/>
        </w:numPr>
      </w:pPr>
      <w:r>
        <w:t xml:space="preserve">whether the existing intermittent cane-use pattern remains sufficient or therapy recommends a more consistent device plan;</w:t>
      </w:r>
    </w:p>
    <w:p>
      <w:pPr>
        <w:pStyle w:val="Compact"/>
        <w:numPr>
          <w:ilvl w:val="0"/>
          <w:numId w:val="1001"/>
        </w:numPr>
      </w:pPr>
      <w:r>
        <w:t xml:space="preserve">whether home health nursing, home PT/OT, outpatient therapy, or another support pathway is feasible if ordered;</w:t>
      </w:r>
    </w:p>
    <w:p>
      <w:pPr>
        <w:pStyle w:val="Compact"/>
        <w:numPr>
          <w:ilvl w:val="0"/>
          <w:numId w:val="1001"/>
        </w:numPr>
      </w:pPr>
      <w:r>
        <w:t xml:space="preserve">whether medication education can occur with family present before a discharge plan is finalized;</w:t>
      </w:r>
    </w:p>
    <w:p>
      <w:pPr>
        <w:pStyle w:val="Compact"/>
        <w:numPr>
          <w:ilvl w:val="0"/>
          <w:numId w:val="1001"/>
        </w:numPr>
      </w:pPr>
      <w:r>
        <w:t xml:space="preserve">whether transportation and follow-up logistics are feasible if discharge proceeds.</w:t>
      </w:r>
    </w:p>
    <w:p>
      <w:pPr>
        <w:pStyle w:val="FirstParagraph"/>
      </w:pPr>
      <w:r>
        <w:t xml:space="preserve">No item in this reference is documented as fully authorized, completed, or sufficient by itself.</w:t>
      </w:r>
    </w:p>
    <w:bookmarkEnd w:id="10"/>
    <w:bookmarkStart w:id="11" w:name="relationship-to-existing-world-evidence"/>
    <w:p>
      <w:pPr>
        <w:pStyle w:val="Heading2"/>
      </w:pPr>
      <w:r>
        <w:t xml:space="preserve">Relationship To Existing World Evidence</w:t>
      </w:r>
    </w:p>
    <w:p>
      <w:pPr>
        <w:pStyle w:val="FirstParagraph"/>
      </w:pPr>
      <w:r>
        <w:t xml:space="preserve">FI-S03 supports transition-planning texture only.</w:t>
      </w:r>
    </w:p>
    <w:p>
      <w:pPr>
        <w:pStyle w:val="BodyText"/>
      </w:pPr>
      <w:r>
        <w:t xml:space="preserve">It must be read against stronger and more clinically specific sources:</w:t>
      </w:r>
    </w:p>
    <w:p>
      <w:pPr>
        <w:pStyle w:val="Compact"/>
        <w:numPr>
          <w:ilvl w:val="0"/>
          <w:numId w:val="1002"/>
        </w:numPr>
      </w:pPr>
      <w:r>
        <w:t xml:space="preserve">FI-W17 nursing observations;</w:t>
      </w:r>
    </w:p>
    <w:p>
      <w:pPr>
        <w:pStyle w:val="Compact"/>
        <w:numPr>
          <w:ilvl w:val="0"/>
          <w:numId w:val="1002"/>
        </w:numPr>
      </w:pPr>
      <w:r>
        <w:t xml:space="preserve">FI-W18 Physical Therapy assessment;</w:t>
      </w:r>
    </w:p>
    <w:p>
      <w:pPr>
        <w:pStyle w:val="Compact"/>
        <w:numPr>
          <w:ilvl w:val="0"/>
          <w:numId w:val="1002"/>
        </w:numPr>
      </w:pPr>
      <w:r>
        <w:t xml:space="preserve">FI-W19 Occupational Therapy assessment;</w:t>
      </w:r>
    </w:p>
    <w:p>
      <w:pPr>
        <w:pStyle w:val="Compact"/>
        <w:numPr>
          <w:ilvl w:val="0"/>
          <w:numId w:val="1002"/>
        </w:numPr>
      </w:pPr>
      <w:r>
        <w:t xml:space="preserve">FI-W20 family communication;</w:t>
      </w:r>
    </w:p>
    <w:p>
      <w:pPr>
        <w:pStyle w:val="Compact"/>
        <w:numPr>
          <w:ilvl w:val="0"/>
          <w:numId w:val="1002"/>
        </w:numPr>
      </w:pPr>
      <w:r>
        <w:t xml:space="preserve">FI-W21 Case Management / Social Work discharge-planning note;</w:t>
      </w:r>
    </w:p>
    <w:p>
      <w:pPr>
        <w:pStyle w:val="Compact"/>
        <w:numPr>
          <w:ilvl w:val="0"/>
          <w:numId w:val="1002"/>
        </w:numPr>
      </w:pPr>
      <w:r>
        <w:t xml:space="preserve">FI-W22 discharge-facing plan snapshot before world close;</w:t>
      </w:r>
    </w:p>
    <w:p>
      <w:pPr>
        <w:pStyle w:val="Compact"/>
        <w:numPr>
          <w:ilvl w:val="0"/>
          <w:numId w:val="1002"/>
        </w:numPr>
      </w:pPr>
      <w:r>
        <w:t xml:space="preserve">relevant task-context files if surfaced later.</w:t>
      </w:r>
    </w:p>
    <w:p>
      <w:pPr>
        <w:pStyle w:val="FirstParagraph"/>
      </w:pPr>
      <w:r>
        <w:t xml:space="preserve">FI-S03 does not replace those files.</w:t>
      </w:r>
    </w:p>
    <w:bookmarkEnd w:id="11"/>
    <w:bookmarkStart w:id="12" w:name="family-team-context"/>
    <w:p>
      <w:pPr>
        <w:pStyle w:val="Heading2"/>
      </w:pPr>
      <w:r>
        <w:t xml:space="preserve">Family / Team Context</w:t>
      </w:r>
    </w:p>
    <w:p>
      <w:pPr>
        <w:pStyle w:val="FirstParagraph"/>
      </w:pPr>
      <w:r>
        <w:t xml:space="preserve">This logistics reference preserves the balance of the Family vs Primary Team friction.</w:t>
      </w:r>
    </w:p>
    <w:p>
      <w:pPr>
        <w:pStyle w:val="BodyText"/>
      </w:pPr>
      <w:r>
        <w:t xml:space="preserve">Family position remains defensible because family is concerned about baseline function, supervision needs, medication changes, and first-days-at-home support.</w:t>
      </w:r>
    </w:p>
    <w:p>
      <w:pPr>
        <w:pStyle w:val="BodyText"/>
      </w:pPr>
      <w:r>
        <w:t xml:space="preserve">Primary Team position remains defensible because Korvin has improved medically and discharge planning can reasonably be explored if final checks align.</w:t>
      </w:r>
    </w:p>
    <w:p>
      <w:pPr>
        <w:pStyle w:val="BodyText"/>
      </w:pPr>
      <w:r>
        <w:t xml:space="preserve">This file does not decide which position is correct.</w:t>
      </w:r>
    </w:p>
    <w:bookmarkEnd w:id="12"/>
    <w:bookmarkStart w:id="13" w:name="trap-5-secondary-support"/>
    <w:p>
      <w:pPr>
        <w:pStyle w:val="Heading2"/>
      </w:pPr>
      <w:r>
        <w:t xml:space="preserve">Trap #5 Secondary Support</w:t>
      </w:r>
    </w:p>
    <w:p>
      <w:pPr>
        <w:pStyle w:val="FirstParagraph"/>
      </w:pPr>
      <w:r>
        <w:t xml:space="preserve">FI-S03 may support Trap #5 only secondarily.</w:t>
      </w:r>
    </w:p>
    <w:p>
      <w:pPr>
        <w:pStyle w:val="BodyText"/>
      </w:pPr>
      <w:r>
        <w:t xml:space="preserve">It adds logistical texture around discharge planning, but it is not the visible discharge-facing artifact and not a complete discharge plan.</w:t>
      </w:r>
    </w:p>
    <w:p>
      <w:pPr>
        <w:pStyle w:val="BodyText"/>
      </w:pPr>
      <w:r>
        <w:t xml:space="preserve">FI-W22 remains the visible, reassuring but incomplete discharge-facing source. FI-S03 must not complete FI-W22.</w:t>
      </w:r>
    </w:p>
    <w:p>
      <w:pPr>
        <w:pStyle w:val="BodyText"/>
      </w:pPr>
      <w:r>
        <w:t xml:space="preserve">A safe interpretation still requires reconciliation across consultants, objective trends, MAR/action evidence, nursing, PT/OT, family communication, case management/social work, and hospitalist synthesis.</w:t>
      </w:r>
    </w:p>
    <w:bookmarkEnd w:id="13"/>
    <w:bookmarkStart w:id="14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FI-S03 must not become a discharge-answer file.</w:t>
      </w:r>
    </w:p>
    <w:p>
      <w:pPr>
        <w:pStyle w:val="BodyText"/>
      </w:pPr>
      <w:r>
        <w:t xml:space="preserve">It must not:</w:t>
      </w:r>
    </w:p>
    <w:p>
      <w:pPr>
        <w:pStyle w:val="Compact"/>
        <w:numPr>
          <w:ilvl w:val="0"/>
          <w:numId w:val="1003"/>
        </w:numPr>
      </w:pPr>
      <w:r>
        <w:t xml:space="preserve">determine safe discharge;</w:t>
      </w:r>
    </w:p>
    <w:p>
      <w:pPr>
        <w:pStyle w:val="Compact"/>
        <w:numPr>
          <w:ilvl w:val="0"/>
          <w:numId w:val="1003"/>
        </w:numPr>
      </w:pPr>
      <w:r>
        <w:t xml:space="preserve">determine unsafe discharge;</w:t>
      </w:r>
    </w:p>
    <w:p>
      <w:pPr>
        <w:pStyle w:val="Compact"/>
        <w:numPr>
          <w:ilvl w:val="0"/>
          <w:numId w:val="1003"/>
        </w:numPr>
      </w:pPr>
      <w:r>
        <w:t xml:space="preserve">finalize home services;</w:t>
      </w:r>
    </w:p>
    <w:p>
      <w:pPr>
        <w:pStyle w:val="Compact"/>
        <w:numPr>
          <w:ilvl w:val="0"/>
          <w:numId w:val="1003"/>
        </w:numPr>
      </w:pPr>
      <w:r>
        <w:t xml:space="preserve">finalize equipment;</w:t>
      </w:r>
    </w:p>
    <w:p>
      <w:pPr>
        <w:pStyle w:val="Compact"/>
        <w:numPr>
          <w:ilvl w:val="0"/>
          <w:numId w:val="1003"/>
        </w:numPr>
      </w:pPr>
      <w:r>
        <w:t xml:space="preserve">resolve family concern;</w:t>
      </w:r>
    </w:p>
    <w:p>
      <w:pPr>
        <w:pStyle w:val="Compact"/>
        <w:numPr>
          <w:ilvl w:val="0"/>
          <w:numId w:val="1003"/>
        </w:numPr>
      </w:pPr>
      <w:r>
        <w:t xml:space="preserve">prove Primary Team negligence;</w:t>
      </w:r>
    </w:p>
    <w:p>
      <w:pPr>
        <w:pStyle w:val="Compact"/>
        <w:numPr>
          <w:ilvl w:val="0"/>
          <w:numId w:val="1003"/>
        </w:numPr>
      </w:pPr>
      <w:r>
        <w:t xml:space="preserve">replace FI-W21 or FI-W22;</w:t>
      </w:r>
    </w:p>
    <w:p>
      <w:pPr>
        <w:pStyle w:val="Compact"/>
        <w:numPr>
          <w:ilvl w:val="0"/>
          <w:numId w:val="1003"/>
        </w:numPr>
      </w:pPr>
      <w:r>
        <w:t xml:space="preserve">carry sole critical evidence;</w:t>
      </w:r>
    </w:p>
    <w:p>
      <w:pPr>
        <w:pStyle w:val="Compact"/>
        <w:numPr>
          <w:ilvl w:val="0"/>
          <w:numId w:val="1003"/>
        </w:numPr>
      </w:pPr>
      <w:r>
        <w:t xml:space="preserve">add post-world outcomes.</w:t>
      </w:r>
    </w:p>
    <w:p>
      <w:pPr>
        <w:pStyle w:val="FirstParagraph"/>
      </w:pPr>
      <w:r>
        <w:t xml:space="preserve">No discharge outcome, +7 follow-up information, +30 follow-up information, task prompt, expected output, golden response, grader guidance, AutoQC response, DOCX artifact, or submission material is present.</w:t>
      </w:r>
    </w:p>
    <w:bookmarkEnd w:id="14"/>
    <w:bookmarkEnd w:id="15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2026-06-04T06:11:20Z</dcterms:created>
  <dcterms:modified xsi:type="dcterms:W3CDTF">2026-06-04T06:11:20Z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