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ce085e066c9f554c02e5786f5de43fc8c1927f0"/>
    <w:p>
      <w:pPr>
        <w:pStyle w:val="Heading1"/>
      </w:pPr>
      <w:r>
        <w:t xml:space="preserve">FI-S04 - Problem List / Past History Snapshot</w:t>
      </w:r>
    </w:p>
    <w:p>
      <w:pPr>
        <w:pStyle w:val="FirstParagraph"/>
      </w:pPr>
      <w:r>
        <w:t xml:space="preserve">File ID: FI-S04</w:t>
      </w:r>
    </w:p>
    <w:p>
      <w:pPr>
        <w:pStyle w:val="BodyText"/>
      </w:pPr>
      <w:r>
        <w:t xml:space="preserve">File Type: Problem list / past history snapshot</w:t>
      </w:r>
    </w:p>
    <w:p>
      <w:pPr>
        <w:pStyle w:val="BodyText"/>
      </w:pPr>
      <w:r>
        <w:t xml:space="preserve">Level: Supplementary</w:t>
      </w:r>
    </w:p>
    <w:p>
      <w:pPr>
        <w:pStyle w:val="BodyText"/>
      </w:pPr>
      <w:r>
        <w:t xml:space="preserve">Approximate Date / Anchor: HD1 or pre-admission import</w:t>
      </w:r>
    </w:p>
    <w:p>
      <w:pPr>
        <w:pStyle w:val="BodyText"/>
      </w:pPr>
      <w:r>
        <w:t xml:space="preserve">Author / Source: Chart problem-list source</w:t>
      </w:r>
    </w:p>
    <w:p>
      <w:pPr>
        <w:pStyle w:val="BodyText"/>
      </w:pPr>
      <w:r>
        <w:t xml:space="preserve">Tool / Origin: Writer-created supplementary chart file</w:t>
      </w:r>
    </w:p>
    <w:p>
      <w:pPr>
        <w:pStyle w:val="BodyText"/>
      </w:pPr>
      <w:r>
        <w:t xml:space="preserve">Purpose: Provide background comorbidity/procedure texture while keeping authoritative facts in stronger sources.</w:t>
      </w:r>
    </w:p>
    <w:p>
      <w:pPr>
        <w:pStyle w:val="BodyText"/>
      </w:pPr>
      <w:r>
        <w:t xml:space="preserve">Supported Workflow(s) / Trap(s) / Friction(s): Hospital Discharge Summary Generation; Discharge Medication Reconciliation; source-hierarchy texture</w:t>
      </w:r>
    </w:p>
    <w:p>
      <w:pPr>
        <w:pStyle w:val="BodyText"/>
      </w:pPr>
      <w:r>
        <w:t xml:space="preserve">World Boundary: contains only low-authority imported problem-list / past-history texture available at admission. It contains no final diagnosis list, final discharge problem list, final medication reconciliation, prednisone source-of-truth answer, task framing, expected output, golden response, grader guidance, AutoQC response, DOCX artifact, or submission material.</w:t>
      </w:r>
    </w:p>
    <w:bookmarkStart w:id="9" w:name="X9f92d48c52c7b92a481097440423fd0284ab622"/>
    <w:p>
      <w:pPr>
        <w:pStyle w:val="Heading2"/>
      </w:pPr>
      <w:r>
        <w:t xml:space="preserve">Imported Problem List / Past History Snapshot</w:t>
      </w:r>
    </w:p>
    <w:p>
      <w:pPr>
        <w:pStyle w:val="FirstParagraph"/>
      </w:pPr>
      <w:r>
        <w:t xml:space="preserve">Patient: Korvin Merrow</w:t>
      </w:r>
    </w:p>
    <w:p>
      <w:pPr>
        <w:pStyle w:val="BodyText"/>
      </w:pPr>
      <w:r>
        <w:t xml:space="preserve">Source type: imported chart problem-list / past-history snapshot</w:t>
      </w:r>
    </w:p>
    <w:p>
      <w:pPr>
        <w:pStyle w:val="BodyText"/>
      </w:pPr>
      <w:r>
        <w:t xml:space="preserve">Approximate anchor: HD1 or pre-admission import</w:t>
      </w:r>
    </w:p>
    <w:p>
      <w:pPr>
        <w:pStyle w:val="BodyText"/>
      </w:pPr>
      <w:r>
        <w:t xml:space="preserve">This snapshot reflects background chart history available to clinicians. It is a low-authority orientation source and may include carried-forward or non-final problem-list phrasing.</w:t>
      </w:r>
    </w:p>
    <w:p>
      <w:pPr>
        <w:pStyle w:val="BodyText"/>
      </w:pPr>
      <w:r>
        <w:t xml:space="preserve">It is not an attending assessment, consultant assessment, verified medication reconciliation, pharmacy history, rheumatology source, discharge summary, or final problem list.</w:t>
      </w:r>
    </w:p>
    <w:bookmarkEnd w:id="9"/>
    <w:bookmarkStart w:id="10" w:name="background-problem-list-texture"/>
    <w:p>
      <w:pPr>
        <w:pStyle w:val="Heading2"/>
      </w:pPr>
      <w:r>
        <w:t xml:space="preserve">Background Problem List Texture</w:t>
      </w:r>
    </w:p>
    <w:p>
      <w:pPr>
        <w:pStyle w:val="FirstParagraph"/>
      </w:pPr>
      <w:r>
        <w:t xml:space="preserve">Problem-list entries include chronic conditions already represented in stronger locked sources:</w:t>
      </w:r>
    </w:p>
    <w:p>
      <w:pPr>
        <w:pStyle w:val="Compact"/>
        <w:numPr>
          <w:ilvl w:val="0"/>
          <w:numId w:val="1001"/>
        </w:numPr>
      </w:pPr>
      <w:r>
        <w:t xml:space="preserve">HFrEF.</w:t>
      </w:r>
    </w:p>
    <w:p>
      <w:pPr>
        <w:pStyle w:val="Compact"/>
        <w:numPr>
          <w:ilvl w:val="0"/>
          <w:numId w:val="1001"/>
        </w:numPr>
      </w:pPr>
      <w:r>
        <w:t xml:space="preserve">CAD with remote PCI / coronary stent history.</w:t>
      </w:r>
    </w:p>
    <w:p>
      <w:pPr>
        <w:pStyle w:val="Compact"/>
        <w:numPr>
          <w:ilvl w:val="0"/>
          <w:numId w:val="1001"/>
        </w:numPr>
      </w:pPr>
      <w:r>
        <w:t xml:space="preserve">Hypertension.</w:t>
      </w:r>
    </w:p>
    <w:p>
      <w:pPr>
        <w:pStyle w:val="Compact"/>
        <w:numPr>
          <w:ilvl w:val="0"/>
          <w:numId w:val="1001"/>
        </w:numPr>
      </w:pPr>
      <w:r>
        <w:t xml:space="preserve">Hyperlipidemia.</w:t>
      </w:r>
    </w:p>
    <w:p>
      <w:pPr>
        <w:pStyle w:val="Compact"/>
        <w:numPr>
          <w:ilvl w:val="0"/>
          <w:numId w:val="1001"/>
        </w:numPr>
      </w:pPr>
      <w:r>
        <w:t xml:space="preserve">CKD stage 3.</w:t>
      </w:r>
    </w:p>
    <w:p>
      <w:pPr>
        <w:pStyle w:val="Compact"/>
        <w:numPr>
          <w:ilvl w:val="0"/>
          <w:numId w:val="1001"/>
        </w:numPr>
      </w:pPr>
      <w:r>
        <w:t xml:space="preserve">Type 2 diabetes mellitus.</w:t>
      </w:r>
    </w:p>
    <w:p>
      <w:pPr>
        <w:pStyle w:val="Compact"/>
        <w:numPr>
          <w:ilvl w:val="0"/>
          <w:numId w:val="1001"/>
        </w:numPr>
      </w:pPr>
      <w:r>
        <w:t xml:space="preserve">Diabetic peripheral neuropathy.</w:t>
      </w:r>
    </w:p>
    <w:p>
      <w:pPr>
        <w:pStyle w:val="Compact"/>
        <w:numPr>
          <w:ilvl w:val="0"/>
          <w:numId w:val="1001"/>
        </w:numPr>
      </w:pPr>
      <w:r>
        <w:t xml:space="preserve">Obstructive sleep apnea.</w:t>
      </w:r>
    </w:p>
    <w:p>
      <w:pPr>
        <w:pStyle w:val="Compact"/>
        <w:numPr>
          <w:ilvl w:val="0"/>
          <w:numId w:val="1001"/>
        </w:numPr>
      </w:pPr>
      <w:r>
        <w:t xml:space="preserve">PMR / chronic steroid exposure history.</w:t>
      </w:r>
    </w:p>
    <w:p>
      <w:pPr>
        <w:pStyle w:val="Compact"/>
        <w:numPr>
          <w:ilvl w:val="0"/>
          <w:numId w:val="1001"/>
        </w:numPr>
      </w:pPr>
      <w:r>
        <w:t xml:space="preserve">Anemia of CKD.</w:t>
      </w:r>
    </w:p>
    <w:p>
      <w:pPr>
        <w:pStyle w:val="Compact"/>
        <w:numPr>
          <w:ilvl w:val="0"/>
          <w:numId w:val="1001"/>
        </w:numPr>
      </w:pPr>
      <w:r>
        <w:t xml:space="preserve">Osteoporosis / osteopenia related to chronic steroid exposure.</w:t>
      </w:r>
    </w:p>
    <w:p>
      <w:pPr>
        <w:pStyle w:val="Compact"/>
        <w:numPr>
          <w:ilvl w:val="0"/>
          <w:numId w:val="1001"/>
        </w:numPr>
      </w:pPr>
      <w:r>
        <w:t xml:space="preserve">Class I obesity.</w:t>
      </w:r>
    </w:p>
    <w:p>
      <w:pPr>
        <w:pStyle w:val="Compact"/>
        <w:numPr>
          <w:ilvl w:val="0"/>
          <w:numId w:val="1001"/>
        </w:numPr>
      </w:pPr>
      <w:r>
        <w:t xml:space="preserve">Chronic GERD / acid-suppression indication.</w:t>
      </w:r>
    </w:p>
    <w:p>
      <w:pPr>
        <w:pStyle w:val="Compact"/>
        <w:numPr>
          <w:ilvl w:val="0"/>
          <w:numId w:val="1001"/>
        </w:numPr>
      </w:pPr>
      <w:r>
        <w:t xml:space="preserve">Chronic constipation tendency.</w:t>
      </w:r>
    </w:p>
    <w:p>
      <w:pPr>
        <w:pStyle w:val="FirstParagraph"/>
      </w:pPr>
      <w:r>
        <w:t xml:space="preserve">This list provides background texture only. It does not create new diagnoses and should not be treated as a final diagnosis hierarchy.</w:t>
      </w:r>
    </w:p>
    <w:bookmarkEnd w:id="10"/>
    <w:bookmarkStart w:id="11" w:name="procedure-history-texture"/>
    <w:p>
      <w:pPr>
        <w:pStyle w:val="Heading2"/>
      </w:pPr>
      <w:r>
        <w:t xml:space="preserve">Procedure / History Texture</w:t>
      </w:r>
    </w:p>
    <w:p>
      <w:pPr>
        <w:pStyle w:val="FirstParagraph"/>
      </w:pPr>
      <w:r>
        <w:t xml:space="preserve">The imported history includes remote PCI / coronary stent placement and remote sleep-study history supporting OSA documentation.</w:t>
      </w:r>
    </w:p>
    <w:p>
      <w:pPr>
        <w:pStyle w:val="BodyText"/>
      </w:pPr>
      <w:r>
        <w:t xml:space="preserve">This problem-list snapshot does not contain operative details, sleep-study values, acute procedural findings, inpatient procedures, or new surgical history.</w:t>
      </w:r>
    </w:p>
    <w:bookmarkEnd w:id="11"/>
    <w:bookmarkStart w:id="12" w:name="medication-and-prednisone-boundaries"/>
    <w:p>
      <w:pPr>
        <w:pStyle w:val="Heading2"/>
      </w:pPr>
      <w:r>
        <w:t xml:space="preserve">Medication And Prednisone Boundaries</w:t>
      </w:r>
    </w:p>
    <w:p>
      <w:pPr>
        <w:pStyle w:val="FirstParagraph"/>
      </w:pPr>
      <w:r>
        <w:t xml:space="preserve">This file does not contain a medication list.</w:t>
      </w:r>
    </w:p>
    <w:p>
      <w:pPr>
        <w:pStyle w:val="BodyText"/>
      </w:pPr>
      <w:r>
        <w:t xml:space="preserve">It does not determine:</w:t>
      </w:r>
    </w:p>
    <w:p>
      <w:pPr>
        <w:pStyle w:val="Compact"/>
        <w:numPr>
          <w:ilvl w:val="0"/>
          <w:numId w:val="1002"/>
        </w:numPr>
      </w:pPr>
      <w:r>
        <w:t xml:space="preserve">home medication truth;</w:t>
      </w:r>
    </w:p>
    <w:p>
      <w:pPr>
        <w:pStyle w:val="Compact"/>
        <w:numPr>
          <w:ilvl w:val="0"/>
          <w:numId w:val="1002"/>
        </w:numPr>
      </w:pPr>
      <w:r>
        <w:t xml:space="preserve">final medication reconciliation;</w:t>
      </w:r>
    </w:p>
    <w:p>
      <w:pPr>
        <w:pStyle w:val="Compact"/>
        <w:numPr>
          <w:ilvl w:val="0"/>
          <w:numId w:val="1002"/>
        </w:numPr>
      </w:pPr>
      <w:r>
        <w:t xml:space="preserve">final discharge medication list;</w:t>
      </w:r>
    </w:p>
    <w:p>
      <w:pPr>
        <w:pStyle w:val="Compact"/>
        <w:numPr>
          <w:ilvl w:val="0"/>
          <w:numId w:val="1002"/>
        </w:numPr>
      </w:pPr>
      <w:r>
        <w:t xml:space="preserve">GDMT restart timing;</w:t>
      </w:r>
    </w:p>
    <w:p>
      <w:pPr>
        <w:pStyle w:val="Compact"/>
        <w:numPr>
          <w:ilvl w:val="0"/>
          <w:numId w:val="1002"/>
        </w:numPr>
      </w:pPr>
      <w:r>
        <w:t xml:space="preserve">diabetes discharge regimen;</w:t>
      </w:r>
    </w:p>
    <w:p>
      <w:pPr>
        <w:pStyle w:val="Compact"/>
        <w:numPr>
          <w:ilvl w:val="0"/>
          <w:numId w:val="1002"/>
        </w:numPr>
      </w:pPr>
      <w:r>
        <w:t xml:space="preserve">prednisone taper truth.</w:t>
      </w:r>
    </w:p>
    <w:p>
      <w:pPr>
        <w:pStyle w:val="FirstParagraph"/>
      </w:pPr>
      <w:r>
        <w:t xml:space="preserve">If prednisone, chronic steroid exposure, or PMR appears in problem-list language, that wording is background only. It does not outrank the locked prednisone source-of-truth hierarchy:</w:t>
      </w:r>
    </w:p>
    <w:p>
      <w:pPr>
        <w:pStyle w:val="Compact"/>
        <w:numPr>
          <w:ilvl w:val="0"/>
          <w:numId w:val="1003"/>
        </w:numPr>
      </w:pPr>
      <w:r>
        <w:t xml:space="preserve">Rheumatology attending recommendation.</w:t>
      </w:r>
    </w:p>
    <w:p>
      <w:pPr>
        <w:pStyle w:val="Compact"/>
        <w:numPr>
          <w:ilvl w:val="0"/>
          <w:numId w:val="1003"/>
        </w:numPr>
      </w:pPr>
      <w:r>
        <w:t xml:space="preserve">Verified medication reconciliation.</w:t>
      </w:r>
    </w:p>
    <w:p>
      <w:pPr>
        <w:pStyle w:val="Compact"/>
        <w:numPr>
          <w:ilvl w:val="0"/>
          <w:numId w:val="1003"/>
        </w:numPr>
      </w:pPr>
      <w:r>
        <w:t xml:space="preserve">Pharmacy / refill history.</w:t>
      </w:r>
    </w:p>
    <w:p>
      <w:pPr>
        <w:pStyle w:val="Compact"/>
        <w:numPr>
          <w:ilvl w:val="0"/>
          <w:numId w:val="1003"/>
        </w:numPr>
      </w:pPr>
      <w:r>
        <w:t xml:space="preserve">Family report.</w:t>
      </w:r>
    </w:p>
    <w:p>
      <w:pPr>
        <w:pStyle w:val="Compact"/>
        <w:numPr>
          <w:ilvl w:val="0"/>
          <w:numId w:val="1003"/>
        </w:numPr>
      </w:pPr>
      <w:r>
        <w:t xml:space="preserve">Patient recollection.</w:t>
      </w:r>
    </w:p>
    <w:bookmarkEnd w:id="12"/>
    <w:bookmarkStart w:id="13" w:name="source-hierarchy-interpretation"/>
    <w:p>
      <w:pPr>
        <w:pStyle w:val="Heading2"/>
      </w:pPr>
      <w:r>
        <w:t xml:space="preserve">Source-Hierarchy Interpretation</w:t>
      </w:r>
    </w:p>
    <w:p>
      <w:pPr>
        <w:pStyle w:val="FirstParagraph"/>
      </w:pPr>
      <w:r>
        <w:t xml:space="preserve">FI-S04 is useful when a clinician wants quick background orientation.</w:t>
      </w:r>
    </w:p>
    <w:p>
      <w:pPr>
        <w:pStyle w:val="BodyText"/>
      </w:pPr>
      <w:r>
        <w:t xml:space="preserve">It is not sufficient when sources disagree.</w:t>
      </w:r>
    </w:p>
    <w:p>
      <w:pPr>
        <w:pStyle w:val="BodyText"/>
      </w:pPr>
      <w:r>
        <w:t xml:space="preserve">For factual conflict resolution, use the locked master source-of-truth hierarchy and relevant stronger files. This problem-list snapshot should not be used to override attending documentation, verified medication reconciliation, pharmacy history, consultant documentation, primary care documentation, family report, or patient recollection.</w:t>
      </w:r>
    </w:p>
    <w:bookmarkEnd w:id="13"/>
    <w:bookmarkStart w:id="14" w:name="guardrails"/>
    <w:p>
      <w:pPr>
        <w:pStyle w:val="Heading2"/>
      </w:pPr>
      <w:r>
        <w:t xml:space="preserve">Guardrails</w:t>
      </w:r>
    </w:p>
    <w:p>
      <w:pPr>
        <w:pStyle w:val="FirstParagraph"/>
      </w:pPr>
      <w:r>
        <w:t xml:space="preserve">FI-S04 must not become a prednisone source or copy-forward answer file.</w:t>
      </w:r>
    </w:p>
    <w:p>
      <w:pPr>
        <w:pStyle w:val="BodyText"/>
      </w:pPr>
      <w:r>
        <w:t xml:space="preserve">It must not:</w:t>
      </w:r>
    </w:p>
    <w:p>
      <w:pPr>
        <w:pStyle w:val="Compact"/>
        <w:numPr>
          <w:ilvl w:val="0"/>
          <w:numId w:val="1004"/>
        </w:numPr>
      </w:pPr>
      <w:r>
        <w:t xml:space="preserve">create a final diagnosis list;</w:t>
      </w:r>
    </w:p>
    <w:p>
      <w:pPr>
        <w:pStyle w:val="Compact"/>
        <w:numPr>
          <w:ilvl w:val="0"/>
          <w:numId w:val="1004"/>
        </w:numPr>
      </w:pPr>
      <w:r>
        <w:t xml:space="preserve">create a final discharge problem list;</w:t>
      </w:r>
    </w:p>
    <w:p>
      <w:pPr>
        <w:pStyle w:val="Compact"/>
        <w:numPr>
          <w:ilvl w:val="0"/>
          <w:numId w:val="1004"/>
        </w:numPr>
      </w:pPr>
      <w:r>
        <w:t xml:space="preserve">create a medication-reconciliation answer;</w:t>
      </w:r>
    </w:p>
    <w:p>
      <w:pPr>
        <w:pStyle w:val="Compact"/>
        <w:numPr>
          <w:ilvl w:val="0"/>
          <w:numId w:val="1004"/>
        </w:numPr>
      </w:pPr>
      <w:r>
        <w:t xml:space="preserve">resolve PMR/prednisone ambiguity;</w:t>
      </w:r>
    </w:p>
    <w:p>
      <w:pPr>
        <w:pStyle w:val="Compact"/>
        <w:numPr>
          <w:ilvl w:val="0"/>
          <w:numId w:val="1004"/>
        </w:numPr>
      </w:pPr>
      <w:r>
        <w:t xml:space="preserve">replace rheumatology provenance;</w:t>
      </w:r>
    </w:p>
    <w:p>
      <w:pPr>
        <w:pStyle w:val="Compact"/>
        <w:numPr>
          <w:ilvl w:val="0"/>
          <w:numId w:val="1004"/>
        </w:numPr>
      </w:pPr>
      <w:r>
        <w:t xml:space="preserve">replace verified medication reconciliation;</w:t>
      </w:r>
    </w:p>
    <w:p>
      <w:pPr>
        <w:pStyle w:val="Compact"/>
        <w:numPr>
          <w:ilvl w:val="0"/>
          <w:numId w:val="1004"/>
        </w:numPr>
      </w:pPr>
      <w:r>
        <w:t xml:space="preserve">introduce new diagnoses or procedures;</w:t>
      </w:r>
    </w:p>
    <w:p>
      <w:pPr>
        <w:pStyle w:val="Compact"/>
        <w:numPr>
          <w:ilvl w:val="0"/>
          <w:numId w:val="1004"/>
        </w:numPr>
      </w:pPr>
      <w:r>
        <w:t xml:space="preserve">carry sole critical evidence.</w:t>
      </w:r>
    </w:p>
    <w:p>
      <w:pPr>
        <w:pStyle w:val="FirstParagraph"/>
      </w:pPr>
      <w:r>
        <w:t xml:space="preserve">No post-world information, discharge outcome, +7 follow-up information, +30 follow-up information, task prompt, expected output, golden response, grader guidance, AutoQC response, DOCX artifact, or submission material is present.</w:t>
      </w:r>
    </w:p>
    <w:bookmarkEnd w:id="14"/>
    <w:bookmarkEnd w:id="15"/>
    <w:sectPr>
      <w:pgSz w:h="15840" w:orient="portrait" w:w="12240"/>
      <w:pgMar w:bottom="1080" w:footer="708" w:header="708" w:left="1080" w:right="1080" w:top="1080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1">
    <w:lvl w:ilvl="0">
      <w:start w:val="1"/>
      <w:numFmt w:val="bullet"/>
      <w:lvlText w:val="●"/>
      <w:lvlJc w:val="left"/>
      <w:pPr>
        <w:ind w:hanging="360" w:left="720"/>
      </w:pPr>
      <w:rPr/>
    </w:lvl>
    <w:lvl w:ilvl="1">
      <w:start w:val="1"/>
      <w:numFmt w:val="bullet"/>
      <w:lvlText w:val="○"/>
      <w:lvlJc w:val="left"/>
      <w:pPr>
        <w:ind w:hanging="360" w:left="1440"/>
      </w:pPr>
      <w:rPr/>
    </w:lvl>
    <w:lvl w:ilvl="2">
      <w:start w:val="1"/>
      <w:numFmt w:val="bullet"/>
      <w:lvlText w:val="■"/>
      <w:lvlJc w:val="left"/>
      <w:pPr>
        <w:ind w:hanging="360" w:left="2160"/>
      </w:pPr>
      <w:rPr/>
    </w:lvl>
    <w:lvl w:ilvl="3">
      <w:start w:val="1"/>
      <w:numFmt w:val="bullet"/>
      <w:lvlText w:val="●"/>
      <w:lvlJc w:val="left"/>
      <w:pPr>
        <w:ind w:hanging="360" w:left="2880"/>
      </w:pPr>
      <w:rPr/>
    </w:lvl>
    <w:lvl w:ilvl="4">
      <w:start w:val="1"/>
      <w:numFmt w:val="bullet"/>
      <w:lvlText w:val="○"/>
      <w:lvlJc w:val="left"/>
      <w:pPr>
        <w:ind w:hanging="360" w:left="3600"/>
      </w:pPr>
      <w:rPr/>
    </w:lvl>
    <w:lvl w:ilvl="5">
      <w:start w:val="1"/>
      <w:numFmt w:val="bullet"/>
      <w:lvlText w:val="■"/>
      <w:lvlJc w:val="left"/>
      <w:pPr>
        <w:ind w:hanging="360" w:left="4320"/>
      </w:pPr>
      <w:rPr/>
    </w:lvl>
    <w:lvl w:ilvl="6">
      <w:start w:val="1"/>
      <w:numFmt w:val="bullet"/>
      <w:lvlText w:val="●"/>
      <w:lvlJc w:val="left"/>
      <w:pPr>
        <w:ind w:hanging="360" w:left="5040"/>
      </w:pPr>
      <w:rPr/>
    </w:lvl>
    <w:lvl w:ilvl="7">
      <w:start w:val="1"/>
      <w:numFmt w:val="bullet"/>
      <w:lvlText w:val="●"/>
      <w:lvlJc w:val="left"/>
      <w:pPr>
        <w:ind w:hanging="360" w:left="5760"/>
      </w:pPr>
      <w:rPr/>
    </w:lvl>
    <w:lvl w:ilvl="8">
      <w:start w:val="1"/>
      <w:numFmt w:val="bullet"/>
      <w:lvlText w:val="●"/>
      <w:lvlJc w:val="left"/>
      <w:pPr>
        <w:ind w:hanging="360" w:left="6480"/>
      </w:pPr>
      <w:rPr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firstLine="0" w:left="0" w:right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32"/>
      <w:szCs w:val="32"/>
      <w:u w:val="none"/>
      <w:shd w:fill="auto" w:val="clear"/>
      <w:vertAlign w:val="baseline"/>
    </w:rPr>
  </w:style>
  <w:style w:styleId="Heading2" w:type="paragraph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180" w:line="240" w:lineRule="auto"/>
      <w:ind w:firstLine="0" w:left="0" w:right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72c4"/>
      <w:sz w:val="28"/>
      <w:szCs w:val="28"/>
      <w:u w:val="none"/>
      <w:shd w:fill="auto" w:val="clear"/>
      <w:vertAlign w:val="baseline"/>
    </w:rPr>
  </w:style>
  <w:style w:styleId="Heading3" w:type="paragraph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styleId="Heading4" w:type="paragraph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styleId="Heading5" w:type="paragraph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styleId="Heading6" w:type="paragraph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styleId="Title" w:type="paragraph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0" w:left="0" w:right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5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6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7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8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9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0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1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2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3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4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5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6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7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8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19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styleId="Table20" w:type="table">
    <w:basedOn w:val="TableNormal"/>
    <w:tblPr>
      <w:tblStyleRowBandSize w:val="1"/>
      <w:tblStyleColBandSize w:val="1"/>
      <w:tblCellMar>
        <w:top w:type="dxa" w:w="0.0"/>
        <w:left w:type="dxa" w:w="115.0"/>
        <w:bottom w:type="dxa" w:w="0.0"/>
        <w:right w:type="dxa" w:w="115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2026-06-04T06:11:20Z</dcterms:created>
  <dcterms:modified xsi:type="dcterms:W3CDTF">2026-06-04T06:11:20Z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