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i-w05---pharmacy-refill-history-report"/>
    <w:p>
      <w:pPr>
        <w:pStyle w:val="Heading1"/>
      </w:pPr>
      <w:r>
        <w:t xml:space="preserve">FI-W05 - Pharmacy / Refill-History Report</w:t>
      </w:r>
    </w:p>
    <w:p>
      <w:pPr>
        <w:pStyle w:val="FirstParagraph"/>
      </w:pPr>
      <w:r>
        <w:t xml:space="preserve">File ID: FI-W05</w:t>
      </w:r>
    </w:p>
    <w:p>
      <w:pPr>
        <w:pStyle w:val="BodyText"/>
      </w:pPr>
      <w:r>
        <w:t xml:space="preserve">File Type: Pharmacy / refill-history report</w:t>
      </w:r>
    </w:p>
    <w:p>
      <w:pPr>
        <w:pStyle w:val="BodyText"/>
      </w:pPr>
      <w:r>
        <w:t xml:space="preserve">Level: World-Level</w:t>
      </w:r>
    </w:p>
    <w:p>
      <w:pPr>
        <w:pStyle w:val="BodyText"/>
      </w:pPr>
      <w:r>
        <w:t xml:space="preserve">Approximate Date / Anchor: Pre-admission provenance reviewed by 05/18/2026 / HD1</w:t>
      </w:r>
    </w:p>
    <w:p>
      <w:pPr>
        <w:pStyle w:val="BodyText"/>
      </w:pPr>
      <w:r>
        <w:t xml:space="preserve">Author / Source: Pharmacy history source</w:t>
      </w:r>
    </w:p>
    <w:p>
      <w:pPr>
        <w:pStyle w:val="BodyText"/>
      </w:pPr>
      <w:r>
        <w:t xml:space="preserve">Tool / Origin: Synthetic provenance file</w:t>
      </w:r>
    </w:p>
    <w:p>
      <w:pPr>
        <w:pStyle w:val="BodyText"/>
      </w:pPr>
      <w:r>
        <w:t xml:space="preserve">Purpose: Provide external medication-history provenance for chronic HF, diabetes, prednisone, supplements, and supportive medications.</w:t>
      </w:r>
    </w:p>
    <w:p>
      <w:pPr>
        <w:pStyle w:val="BodyText"/>
      </w:pPr>
      <w:r>
        <w:t xml:space="preserve">Supported Workflow(s) / Trap(s) / Friction(s): Discharge Medication Reconciliation; Traps #1, #2; Cardiology vs Nephrology; Endocrinology vs Primary Team</w:t>
      </w:r>
    </w:p>
    <w:bookmarkStart w:id="9" w:name="pharmacy-fill-history-review"/>
    <w:p>
      <w:pPr>
        <w:pStyle w:val="Heading2"/>
      </w:pPr>
      <w:r>
        <w:t xml:space="preserve">Pharmacy Fill History Review</w:t>
      </w:r>
    </w:p>
    <w:p>
      <w:pPr>
        <w:pStyle w:val="FirstParagraph"/>
      </w:pPr>
      <w:r>
        <w:t xml:space="preserve">Review date: 05/18/2026</w:t>
      </w:r>
    </w:p>
    <w:p>
      <w:pPr>
        <w:pStyle w:val="BodyText"/>
      </w:pPr>
      <w:r>
        <w:t xml:space="preserve">Patient: Korvin Merrow</w:t>
      </w:r>
    </w:p>
    <w:p>
      <w:pPr>
        <w:pStyle w:val="BodyText"/>
      </w:pPr>
      <w:r>
        <w:t xml:space="preserve">Source: external pharmacy fill-history query and available outpatient pharmacy records.</w:t>
      </w:r>
    </w:p>
    <w:p>
      <w:pPr>
        <w:pStyle w:val="BodyText"/>
      </w:pPr>
      <w:r>
        <w:t xml:space="preserve">Limitations: fill history confirms dispensing patterns but does not prove actual medication ingestion, correct timing, inpatient continuation, or discharge appropriateness.</w:t>
      </w:r>
    </w:p>
    <w:bookmarkEnd w:id="9"/>
    <w:bookmarkStart w:id="10" w:name="chronic-medication-fill-pattern"/>
    <w:p>
      <w:pPr>
        <w:pStyle w:val="Heading2"/>
      </w:pPr>
      <w:r>
        <w:t xml:space="preserve">Chronic Medication Fill Pattern</w:t>
      </w:r>
    </w:p>
    <w:p>
      <w:pPr>
        <w:pStyle w:val="FirstParagraph"/>
      </w:pPr>
      <w:r>
        <w:t xml:space="preserve">The following medication classes appear active or recently active in pharmacy history:</w:t>
      </w:r>
    </w:p>
    <w:p>
      <w:pPr>
        <w:pStyle w:val="BodyText"/>
      </w:pPr>
      <w:r>
        <w:t xml:space="preserve">Cardiovascular / HFrEF / CAD:</w:t>
      </w:r>
    </w:p>
    <w:p>
      <w:pPr>
        <w:pStyle w:val="Compact"/>
        <w:numPr>
          <w:ilvl w:val="0"/>
          <w:numId w:val="1001"/>
        </w:numPr>
      </w:pPr>
      <w:r>
        <w:t xml:space="preserve">Sacubitril/valsartan: recurring fills consistent with chronic HFrEF therapy.</w:t>
      </w:r>
    </w:p>
    <w:p>
      <w:pPr>
        <w:pStyle w:val="Compact"/>
        <w:numPr>
          <w:ilvl w:val="0"/>
          <w:numId w:val="1001"/>
        </w:numPr>
      </w:pPr>
      <w:r>
        <w:t xml:space="preserve">Carvedilol: recurring fills consistent with chronic HFrEF/CAD therapy.</w:t>
      </w:r>
    </w:p>
    <w:p>
      <w:pPr>
        <w:pStyle w:val="Compact"/>
        <w:numPr>
          <w:ilvl w:val="0"/>
          <w:numId w:val="1001"/>
        </w:numPr>
      </w:pPr>
      <w:r>
        <w:t xml:space="preserve">Furosemide: recurring fills consistent with chronic volume-management therapy.</w:t>
      </w:r>
    </w:p>
    <w:p>
      <w:pPr>
        <w:pStyle w:val="Compact"/>
        <w:numPr>
          <w:ilvl w:val="0"/>
          <w:numId w:val="1001"/>
        </w:numPr>
      </w:pPr>
      <w:r>
        <w:t xml:space="preserve">Spironolactone: recurring fills consistent with chronic HFrEF therapy.</w:t>
      </w:r>
    </w:p>
    <w:p>
      <w:pPr>
        <w:pStyle w:val="Compact"/>
        <w:numPr>
          <w:ilvl w:val="0"/>
          <w:numId w:val="1001"/>
        </w:numPr>
      </w:pPr>
      <w:r>
        <w:t xml:space="preserve">Empagliflozin: recurring fills consistent with diabetes/HFrEF/CKD-related therapy.</w:t>
      </w:r>
    </w:p>
    <w:p>
      <w:pPr>
        <w:pStyle w:val="Compact"/>
        <w:numPr>
          <w:ilvl w:val="0"/>
          <w:numId w:val="1001"/>
        </w:numPr>
      </w:pPr>
      <w:r>
        <w:t xml:space="preserve">Aspirin: may be purchased over the counter or included in medication list; pharmacy fill history may not fully capture use.</w:t>
      </w:r>
    </w:p>
    <w:p>
      <w:pPr>
        <w:pStyle w:val="Compact"/>
        <w:numPr>
          <w:ilvl w:val="0"/>
          <w:numId w:val="1001"/>
        </w:numPr>
      </w:pPr>
      <w:r>
        <w:t xml:space="preserve">Atorvastatin: recurring fills consistent with chronic CAD/hyperlipidemia therapy.</w:t>
      </w:r>
    </w:p>
    <w:p>
      <w:pPr>
        <w:pStyle w:val="Compact"/>
        <w:numPr>
          <w:ilvl w:val="0"/>
          <w:numId w:val="1001"/>
        </w:numPr>
      </w:pPr>
      <w:r>
        <w:t xml:space="preserve">Nitroglycerin rescue medication: intermittent fill history consistent with rescue use rather than daily dosing.</w:t>
      </w:r>
    </w:p>
    <w:p>
      <w:pPr>
        <w:pStyle w:val="FirstParagraph"/>
      </w:pPr>
      <w:r>
        <w:t xml:space="preserve">Diabetes:</w:t>
      </w:r>
    </w:p>
    <w:p>
      <w:pPr>
        <w:pStyle w:val="Compact"/>
        <w:numPr>
          <w:ilvl w:val="0"/>
          <w:numId w:val="1002"/>
        </w:numPr>
      </w:pPr>
      <w:r>
        <w:t xml:space="preserve">Metformin ER: recurring fills, with renal/acute illness relevance.</w:t>
      </w:r>
    </w:p>
    <w:p>
      <w:pPr>
        <w:pStyle w:val="Compact"/>
        <w:numPr>
          <w:ilvl w:val="0"/>
          <w:numId w:val="1002"/>
        </w:numPr>
      </w:pPr>
      <w:r>
        <w:t xml:space="preserve">Insulin glargine: recurring fills consistent with basal insulin use.</w:t>
      </w:r>
    </w:p>
    <w:p>
      <w:pPr>
        <w:pStyle w:val="FirstParagraph"/>
      </w:pPr>
      <w:r>
        <w:t xml:space="preserve">Steroid / PMR:</w:t>
      </w:r>
    </w:p>
    <w:p>
      <w:pPr>
        <w:pStyle w:val="Compact"/>
        <w:numPr>
          <w:ilvl w:val="0"/>
          <w:numId w:val="1003"/>
        </w:numPr>
      </w:pPr>
      <w:r>
        <w:t xml:space="preserve">Prednisone: refill history shows multiple fills over time, with directions that changed across fills.</w:t>
      </w:r>
    </w:p>
    <w:p>
      <w:pPr>
        <w:pStyle w:val="Compact"/>
        <w:numPr>
          <w:ilvl w:val="0"/>
          <w:numId w:val="1003"/>
        </w:numPr>
      </w:pPr>
      <w:r>
        <w:t xml:space="preserve">Refill history supports chronic exposure and recent taper activity but does not prove what Korvin actually took in the days before admission.</w:t>
      </w:r>
    </w:p>
    <w:p>
      <w:pPr>
        <w:pStyle w:val="FirstParagraph"/>
      </w:pPr>
      <w:r>
        <w:t xml:space="preserve">Neuropathy / pain:</w:t>
      </w:r>
    </w:p>
    <w:p>
      <w:pPr>
        <w:pStyle w:val="Compact"/>
        <w:numPr>
          <w:ilvl w:val="0"/>
          <w:numId w:val="1004"/>
        </w:numPr>
      </w:pPr>
      <w:r>
        <w:t xml:space="preserve">Gabapentin: recurring fills.</w:t>
      </w:r>
    </w:p>
    <w:p>
      <w:pPr>
        <w:pStyle w:val="Compact"/>
        <w:numPr>
          <w:ilvl w:val="0"/>
          <w:numId w:val="1004"/>
        </w:numPr>
      </w:pPr>
      <w:r>
        <w:t xml:space="preserve">Acetaminophen: may be over the counter; fill history may not capture all use.</w:t>
      </w:r>
    </w:p>
    <w:p>
      <w:pPr>
        <w:pStyle w:val="FirstParagraph"/>
      </w:pPr>
      <w:r>
        <w:t xml:space="preserve">GI / bowel / anemia / bone health:</w:t>
      </w:r>
    </w:p>
    <w:p>
      <w:pPr>
        <w:pStyle w:val="Compact"/>
        <w:numPr>
          <w:ilvl w:val="0"/>
          <w:numId w:val="1005"/>
        </w:numPr>
      </w:pPr>
      <w:r>
        <w:t xml:space="preserve">Pantoprazole: recurring or recently active fills.</w:t>
      </w:r>
    </w:p>
    <w:p>
      <w:pPr>
        <w:pStyle w:val="Compact"/>
        <w:numPr>
          <w:ilvl w:val="0"/>
          <w:numId w:val="1005"/>
        </w:numPr>
      </w:pPr>
      <w:r>
        <w:t xml:space="preserve">Ferrous sulfate: recurring or recently active fills.</w:t>
      </w:r>
    </w:p>
    <w:p>
      <w:pPr>
        <w:pStyle w:val="Compact"/>
        <w:numPr>
          <w:ilvl w:val="0"/>
          <w:numId w:val="1005"/>
        </w:numPr>
      </w:pPr>
      <w:r>
        <w:t xml:space="preserve">Alendronate: recurring fills consistent with bone-health therapy.</w:t>
      </w:r>
    </w:p>
    <w:p>
      <w:pPr>
        <w:pStyle w:val="Compact"/>
        <w:numPr>
          <w:ilvl w:val="0"/>
          <w:numId w:val="1005"/>
        </w:numPr>
      </w:pPr>
      <w:r>
        <w:t xml:space="preserve">Calcium/vitamin D products and cholecalciferol: may be over the counter or variably captured.</w:t>
      </w:r>
    </w:p>
    <w:p>
      <w:pPr>
        <w:pStyle w:val="Compact"/>
        <w:numPr>
          <w:ilvl w:val="0"/>
          <w:numId w:val="1005"/>
        </w:numPr>
      </w:pPr>
      <w:r>
        <w:t xml:space="preserve">Polyethylene glycol and senna: may be intermittent, over the counter, or variably captured.</w:t>
      </w:r>
    </w:p>
    <w:bookmarkEnd w:id="10"/>
    <w:bookmarkStart w:id="11" w:name="prednisone-fill-history-details"/>
    <w:p>
      <w:pPr>
        <w:pStyle w:val="Heading2"/>
      </w:pPr>
      <w:r>
        <w:t xml:space="preserve">Prednisone Fill-History Details</w:t>
      </w:r>
    </w:p>
    <w:p>
      <w:pPr>
        <w:pStyle w:val="FirstParagraph"/>
      </w:pPr>
      <w:r>
        <w:t xml:space="preserve">Prednisone fill history supports that Korvin has had chronic and recent exposure, but it does not fully settle the intended taper or actual adherence.</w:t>
      </w:r>
    </w:p>
    <w:p>
      <w:pPr>
        <w:pStyle w:val="BodyText"/>
      </w:pPr>
      <w:r>
        <w:t xml:space="preserve">Observed pattern:</w:t>
      </w:r>
    </w:p>
    <w:p>
      <w:pPr>
        <w:pStyle w:val="Compact"/>
        <w:numPr>
          <w:ilvl w:val="0"/>
          <w:numId w:val="1006"/>
        </w:numPr>
      </w:pPr>
      <w:r>
        <w:t xml:space="preserve">Older fills support prolonged prednisone treatment for PMR.</w:t>
      </w:r>
    </w:p>
    <w:p>
      <w:pPr>
        <w:pStyle w:val="Compact"/>
        <w:numPr>
          <w:ilvl w:val="0"/>
          <w:numId w:val="1006"/>
        </w:numPr>
      </w:pPr>
      <w:r>
        <w:t xml:space="preserve">More recent fills include lower-strength tablets and taper-style directions.</w:t>
      </w:r>
    </w:p>
    <w:p>
      <w:pPr>
        <w:pStyle w:val="Compact"/>
        <w:numPr>
          <w:ilvl w:val="0"/>
          <w:numId w:val="1006"/>
        </w:numPr>
      </w:pPr>
      <w:r>
        <w:t xml:space="preserve">Fill timing suggests prednisone remained clinically relevant before admission.</w:t>
      </w:r>
    </w:p>
    <w:p>
      <w:pPr>
        <w:pStyle w:val="Compact"/>
        <w:numPr>
          <w:ilvl w:val="0"/>
          <w:numId w:val="1006"/>
        </w:numPr>
      </w:pPr>
      <w:r>
        <w:t xml:space="preserve">The fill record alone cannot confirm whether Korvin followed the latest taper, continued an older dose, skipped doses, or misunderstood instructions during his recent decline.</w:t>
      </w:r>
    </w:p>
    <w:p>
      <w:pPr>
        <w:pStyle w:val="FirstParagraph"/>
      </w:pPr>
      <w:r>
        <w:t xml:space="preserve">Interpretation:</w:t>
      </w:r>
    </w:p>
    <w:p>
      <w:pPr>
        <w:pStyle w:val="Compact"/>
        <w:numPr>
          <w:ilvl w:val="0"/>
          <w:numId w:val="1007"/>
        </w:numPr>
      </w:pPr>
      <w:r>
        <w:t xml:space="preserve">Pharmacy history is stronger than patient recollection for whether prednisone was recently available.</w:t>
      </w:r>
    </w:p>
    <w:p>
      <w:pPr>
        <w:pStyle w:val="Compact"/>
        <w:numPr>
          <w:ilvl w:val="0"/>
          <w:numId w:val="1007"/>
        </w:numPr>
      </w:pPr>
      <w:r>
        <w:t xml:space="preserve">Pharmacy history is weaker than rheumatology documentation for intended taper plan.</w:t>
      </w:r>
    </w:p>
    <w:p>
      <w:pPr>
        <w:pStyle w:val="Compact"/>
        <w:numPr>
          <w:ilvl w:val="0"/>
          <w:numId w:val="1007"/>
        </w:numPr>
      </w:pPr>
      <w:r>
        <w:t xml:space="preserve">Pharmacy history does not replace verified medication reconciliation or actual administration history.</w:t>
      </w:r>
    </w:p>
    <w:bookmarkEnd w:id="11"/>
    <w:bookmarkStart w:id="12" w:name="X769d48f845a554b5790bf1c5d120f1cd9c64eeb"/>
    <w:p>
      <w:pPr>
        <w:pStyle w:val="Heading2"/>
      </w:pPr>
      <w:r>
        <w:t xml:space="preserve">Medication Safety Implications For Admission</w:t>
      </w:r>
    </w:p>
    <w:p>
      <w:pPr>
        <w:pStyle w:val="FirstParagraph"/>
      </w:pPr>
      <w:r>
        <w:t xml:space="preserve">The fill pattern confirms a high-burden baseline regimen with multiple medications that may be affected by acute illness, poor intake, renal function, and hemodynamic status.</w:t>
      </w:r>
    </w:p>
    <w:p>
      <w:pPr>
        <w:pStyle w:val="BodyText"/>
      </w:pPr>
      <w:r>
        <w:t xml:space="preserve">Important acute medication-safety categories:</w:t>
      </w:r>
    </w:p>
    <w:p>
      <w:pPr>
        <w:pStyle w:val="Compact"/>
        <w:numPr>
          <w:ilvl w:val="0"/>
          <w:numId w:val="1008"/>
        </w:numPr>
      </w:pPr>
      <w:r>
        <w:t xml:space="preserve">HFrEF/CAD protective therapy that should not be casually lost.</w:t>
      </w:r>
    </w:p>
    <w:p>
      <w:pPr>
        <w:pStyle w:val="Compact"/>
        <w:numPr>
          <w:ilvl w:val="0"/>
          <w:numId w:val="1008"/>
        </w:numPr>
      </w:pPr>
      <w:r>
        <w:t xml:space="preserve">Renal/hemodynamic-sensitive medications that may be unsafe during acute illness.</w:t>
      </w:r>
    </w:p>
    <w:p>
      <w:pPr>
        <w:pStyle w:val="Compact"/>
        <w:numPr>
          <w:ilvl w:val="0"/>
          <w:numId w:val="1008"/>
        </w:numPr>
      </w:pPr>
      <w:r>
        <w:t xml:space="preserve">Diabetes medications affected by poor intake and kidney function.</w:t>
      </w:r>
    </w:p>
    <w:p>
      <w:pPr>
        <w:pStyle w:val="Compact"/>
        <w:numPr>
          <w:ilvl w:val="0"/>
          <w:numId w:val="1008"/>
        </w:numPr>
      </w:pPr>
      <w:r>
        <w:t xml:space="preserve">Prednisone with unclear taper/adherence.</w:t>
      </w:r>
    </w:p>
    <w:p>
      <w:pPr>
        <w:pStyle w:val="Compact"/>
        <w:numPr>
          <w:ilvl w:val="0"/>
          <w:numId w:val="1008"/>
        </w:numPr>
      </w:pPr>
      <w:r>
        <w:t xml:space="preserve">Supportive medications that increase real-world regimen complexity.</w:t>
      </w:r>
    </w:p>
    <w:p>
      <w:pPr>
        <w:pStyle w:val="FirstParagraph"/>
      </w:pPr>
      <w:r>
        <w:t xml:space="preserve">This report does not determine inpatient holds, restarts, taper decisions, or final discharge medication reconciliation.</w:t>
      </w:r>
    </w:p>
    <w:p>
      <w:pPr>
        <w:pStyle w:val="BodyText"/>
      </w:pPr>
      <w:r>
        <w:t xml:space="preserve">No post-world information, discharge medication list, task framing, expected output, golden response, or grader guidance is present in this file.</w:t>
      </w:r>
    </w:p>
    <w:bookmarkEnd w:id="12"/>
    <w:bookmarkEnd w:id="13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2026-06-04T06:11:17Z</dcterms:created>
  <dcterms:modified xsi:type="dcterms:W3CDTF">2026-06-04T06:11:17Z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