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b5314d020800e436f8e90453526e63f9328317"/>
    <w:p>
      <w:pPr>
        <w:pStyle w:val="Heading1"/>
      </w:pPr>
      <w:r>
        <w:t xml:space="preserve">FI-W06 - Outpatient Rheumatology Prednisone Provenance</w:t>
      </w:r>
    </w:p>
    <w:p>
      <w:pPr>
        <w:pStyle w:val="FirstParagraph"/>
      </w:pPr>
      <w:r>
        <w:t xml:space="preserve">File ID: FI-W06</w:t>
      </w:r>
    </w:p>
    <w:p>
      <w:pPr>
        <w:pStyle w:val="BodyText"/>
      </w:pPr>
      <w:r>
        <w:t xml:space="preserve">File Type: Outpatient rheumatology prednisone provenance</w:t>
      </w:r>
    </w:p>
    <w:p>
      <w:pPr>
        <w:pStyle w:val="BodyText"/>
      </w:pPr>
      <w:r>
        <w:t xml:space="preserve">Level: World-Level</w:t>
      </w:r>
    </w:p>
    <w:p>
      <w:pPr>
        <w:pStyle w:val="BodyText"/>
      </w:pPr>
      <w:r>
        <w:t xml:space="preserve">Approximate Date / Anchor: Pre-admission provenance available by HD4</w:t>
      </w:r>
    </w:p>
    <w:p>
      <w:pPr>
        <w:pStyle w:val="BodyText"/>
      </w:pPr>
      <w:r>
        <w:t xml:space="preserve">Author / Source: Dr. Soren Halvek / outpatient rheumatology</w:t>
      </w:r>
    </w:p>
    <w:p>
      <w:pPr>
        <w:pStyle w:val="BodyText"/>
      </w:pPr>
      <w:r>
        <w:t xml:space="preserve">Tool / Origin: Synthetic outpatient provenance file</w:t>
      </w:r>
    </w:p>
    <w:p>
      <w:pPr>
        <w:pStyle w:val="BodyText"/>
      </w:pPr>
      <w:r>
        <w:t xml:space="preserve">Purpose: Carry the highest-authority PMR and prednisone taper recommendation plus older steroid-exposure context.</w:t>
      </w:r>
    </w:p>
    <w:p>
      <w:pPr>
        <w:pStyle w:val="BodyText"/>
      </w:pPr>
      <w:r>
        <w:t xml:space="preserve">Supported Workflow(s) / Trap(s) / Friction(s): Discharge Medication Reconciliation; Hospital Discharge Summary Generation; Interdisciplinary Care Plan Development and Documentation; Trap #1; Endocrinology vs Primary Team</w:t>
      </w:r>
    </w:p>
    <w:bookmarkStart w:id="9" w:name="outpatient-rheumatology-record-extract"/>
    <w:p>
      <w:pPr>
        <w:pStyle w:val="Heading2"/>
      </w:pPr>
      <w:r>
        <w:t xml:space="preserve">Outpatient Rheumatology Record Extract</w:t>
      </w:r>
    </w:p>
    <w:p>
      <w:pPr>
        <w:pStyle w:val="FirstParagraph"/>
      </w:pPr>
      <w:r>
        <w:t xml:space="preserve">Source: outpatient rheumatology documentation.</w:t>
      </w:r>
    </w:p>
    <w:p>
      <w:pPr>
        <w:pStyle w:val="BodyText"/>
      </w:pPr>
      <w:r>
        <w:t xml:space="preserve">Author: Dr. Soren Halvek</w:t>
      </w:r>
    </w:p>
    <w:p>
      <w:pPr>
        <w:pStyle w:val="BodyText"/>
      </w:pPr>
      <w:r>
        <w:t xml:space="preserve">Patient: Korvin Merrow</w:t>
      </w:r>
    </w:p>
    <w:p>
      <w:pPr>
        <w:pStyle w:val="BodyText"/>
      </w:pPr>
      <w:r>
        <w:t xml:space="preserve">Record type: prednisone / PMR provenance summary available to inpatient team during hospitalization.</w:t>
      </w:r>
    </w:p>
    <w:p>
      <w:pPr>
        <w:pStyle w:val="BodyText"/>
      </w:pPr>
      <w:r>
        <w:t xml:space="preserve">This file represents outpatient provenance. It is not an inpatient consult note, task prompt, discharge plan, or final steroid recommendation.</w:t>
      </w:r>
    </w:p>
    <w:bookmarkEnd w:id="9"/>
    <w:bookmarkStart w:id="10" w:name="pmr-background"/>
    <w:p>
      <w:pPr>
        <w:pStyle w:val="Heading2"/>
      </w:pPr>
      <w:r>
        <w:t xml:space="preserve">PMR Background</w:t>
      </w:r>
    </w:p>
    <w:p>
      <w:pPr>
        <w:pStyle w:val="FirstParagraph"/>
      </w:pPr>
      <w:r>
        <w:t xml:space="preserve">Korvin has a several-year history of polymyalgia rheumatica treated with chronic prednisone exposure. Prior course includes multiple symptom flares and taper attempts. Bone-health therapy is consistent with chronic steroid exposure and cumulative risk.</w:t>
      </w:r>
    </w:p>
    <w:p>
      <w:pPr>
        <w:pStyle w:val="BodyText"/>
      </w:pPr>
      <w:r>
        <w:t xml:space="preserve">Recent outpatient rheumatology assessment documented PMR symptoms as controlled enough to attempt a cautious prednisone taper. The intent was gradual reduction with monitoring for recurrent PMR symptoms and avoidance of abrupt discontinuation.</w:t>
      </w:r>
    </w:p>
    <w:bookmarkEnd w:id="10"/>
    <w:bookmarkStart w:id="11" w:name="most-recent-rheumatology-taper-intent"/>
    <w:p>
      <w:pPr>
        <w:pStyle w:val="Heading2"/>
      </w:pPr>
      <w:r>
        <w:t xml:space="preserve">Most Recent Rheumatology Taper Intent</w:t>
      </w:r>
    </w:p>
    <w:p>
      <w:pPr>
        <w:pStyle w:val="FirstParagraph"/>
      </w:pPr>
      <w:r>
        <w:t xml:space="preserve">Rheumatology documentation indicates prednisone taper was initiated because PMR symptoms appeared controlled. The outpatient intent was a cautious taper, not abrupt cessation.</w:t>
      </w:r>
    </w:p>
    <w:p>
      <w:pPr>
        <w:pStyle w:val="BodyText"/>
      </w:pPr>
      <w:r>
        <w:t xml:space="preserve">The rheumatology record is the highest-authority source for intended PMR/prednisone management. It does not prove that Korvin actually followed the taper correctly at home.</w:t>
      </w:r>
    </w:p>
    <w:p>
      <w:pPr>
        <w:pStyle w:val="BodyText"/>
      </w:pPr>
      <w:r>
        <w:t xml:space="preserve">Important wording from the rheumatology plan:</w:t>
      </w:r>
    </w:p>
    <w:p>
      <w:pPr>
        <w:pStyle w:val="Compact"/>
        <w:numPr>
          <w:ilvl w:val="0"/>
          <w:numId w:val="1001"/>
        </w:numPr>
      </w:pPr>
      <w:r>
        <w:t xml:space="preserve">Continue slow taper if symptoms remain controlled.</w:t>
      </w:r>
    </w:p>
    <w:p>
      <w:pPr>
        <w:pStyle w:val="Compact"/>
        <w:numPr>
          <w:ilvl w:val="0"/>
          <w:numId w:val="1001"/>
        </w:numPr>
      </w:pPr>
      <w:r>
        <w:t xml:space="preserve">Avoid abrupt discontinuation.</w:t>
      </w:r>
    </w:p>
    <w:p>
      <w:pPr>
        <w:pStyle w:val="Compact"/>
        <w:numPr>
          <w:ilvl w:val="0"/>
          <w:numId w:val="1001"/>
        </w:numPr>
      </w:pPr>
      <w:r>
        <w:t xml:space="preserve">Contact rheumatology or primary care if PMR symptoms flare or systemic symptoms emerge.</w:t>
      </w:r>
    </w:p>
    <w:p>
      <w:pPr>
        <w:pStyle w:val="Compact"/>
        <w:numPr>
          <w:ilvl w:val="0"/>
          <w:numId w:val="1001"/>
        </w:numPr>
      </w:pPr>
      <w:r>
        <w:t xml:space="preserve">Medication list should be reconciled because prior taper instructions may remain visible in older records.</w:t>
      </w:r>
    </w:p>
    <w:bookmarkEnd w:id="11"/>
    <w:bookmarkStart w:id="12" w:name="source-of-truth-implication"/>
    <w:p>
      <w:pPr>
        <w:pStyle w:val="Heading2"/>
      </w:pPr>
      <w:r>
        <w:t xml:space="preserve">Source-Of-Truth Implication</w:t>
      </w:r>
    </w:p>
    <w:p>
      <w:pPr>
        <w:pStyle w:val="FirstParagraph"/>
      </w:pPr>
      <w:r>
        <w:t xml:space="preserve">This rheumatology record should be weighted above patient recollection, family interpretation, and refill history when determining intended prednisone plan.</w:t>
      </w:r>
    </w:p>
    <w:p>
      <w:pPr>
        <w:pStyle w:val="BodyText"/>
      </w:pPr>
      <w:r>
        <w:t xml:space="preserve">However:</w:t>
      </w:r>
    </w:p>
    <w:p>
      <w:pPr>
        <w:pStyle w:val="Compact"/>
        <w:numPr>
          <w:ilvl w:val="0"/>
          <w:numId w:val="1002"/>
        </w:numPr>
      </w:pPr>
      <w:r>
        <w:t xml:space="preserve">It does not confirm actual recent adherence.</w:t>
      </w:r>
    </w:p>
    <w:p>
      <w:pPr>
        <w:pStyle w:val="Compact"/>
        <w:numPr>
          <w:ilvl w:val="0"/>
          <w:numId w:val="1002"/>
        </w:numPr>
      </w:pPr>
      <w:r>
        <w:t xml:space="preserve">It does not establish the inpatient steroid plan by itself.</w:t>
      </w:r>
    </w:p>
    <w:p>
      <w:pPr>
        <w:pStyle w:val="Compact"/>
        <w:numPr>
          <w:ilvl w:val="0"/>
          <w:numId w:val="1002"/>
        </w:numPr>
      </w:pPr>
      <w:r>
        <w:t xml:space="preserve">It does not prove that current weakness, lightheadedness, or altered mentation is primarily caused by adrenal suppression.</w:t>
      </w:r>
    </w:p>
    <w:p>
      <w:pPr>
        <w:pStyle w:val="Compact"/>
        <w:numPr>
          <w:ilvl w:val="0"/>
          <w:numId w:val="1002"/>
        </w:numPr>
      </w:pPr>
      <w:r>
        <w:t xml:space="preserve">It does not erase the clinically reasonable early sepsis frame.</w:t>
      </w:r>
    </w:p>
    <w:bookmarkEnd w:id="12"/>
    <w:bookmarkStart w:id="13" w:name="relationship-to-admission"/>
    <w:p>
      <w:pPr>
        <w:pStyle w:val="Heading2"/>
      </w:pPr>
      <w:r>
        <w:t xml:space="preserve">Relationship To Admission</w:t>
      </w:r>
    </w:p>
    <w:p>
      <w:pPr>
        <w:pStyle w:val="FirstParagraph"/>
      </w:pPr>
      <w:r>
        <w:t xml:space="preserve">If the inpatient team later identifies inconsistent prednisone reports, this record should help reconstruct intended taper history. It should be interpreted together with:</w:t>
      </w:r>
    </w:p>
    <w:p>
      <w:pPr>
        <w:pStyle w:val="Compact"/>
        <w:numPr>
          <w:ilvl w:val="0"/>
          <w:numId w:val="1003"/>
        </w:numPr>
      </w:pPr>
      <w:r>
        <w:t xml:space="preserve">verified medication reconciliation</w:t>
      </w:r>
    </w:p>
    <w:p>
      <w:pPr>
        <w:pStyle w:val="Compact"/>
        <w:numPr>
          <w:ilvl w:val="0"/>
          <w:numId w:val="1003"/>
        </w:numPr>
      </w:pPr>
      <w:r>
        <w:t xml:space="preserve">pharmacy/refill history</w:t>
      </w:r>
    </w:p>
    <w:p>
      <w:pPr>
        <w:pStyle w:val="Compact"/>
        <w:numPr>
          <w:ilvl w:val="0"/>
          <w:numId w:val="1003"/>
        </w:numPr>
      </w:pPr>
      <w:r>
        <w:t xml:space="preserve">family report</w:t>
      </w:r>
    </w:p>
    <w:p>
      <w:pPr>
        <w:pStyle w:val="Compact"/>
        <w:numPr>
          <w:ilvl w:val="0"/>
          <w:numId w:val="1003"/>
        </w:numPr>
      </w:pPr>
      <w:r>
        <w:t xml:space="preserve">patient recollection</w:t>
      </w:r>
    </w:p>
    <w:p>
      <w:pPr>
        <w:pStyle w:val="Compact"/>
        <w:numPr>
          <w:ilvl w:val="0"/>
          <w:numId w:val="1003"/>
        </w:numPr>
      </w:pPr>
      <w:r>
        <w:t xml:space="preserve">inpatient clinical status</w:t>
      </w:r>
    </w:p>
    <w:bookmarkEnd w:id="13"/>
    <w:bookmarkStart w:id="14" w:name="guardrail"/>
    <w:p>
      <w:pPr>
        <w:pStyle w:val="Heading2"/>
      </w:pPr>
      <w:r>
        <w:t xml:space="preserve">Guardrail</w:t>
      </w:r>
    </w:p>
    <w:p>
      <w:pPr>
        <w:pStyle w:val="FirstParagraph"/>
      </w:pPr>
      <w:r>
        <w:t xml:space="preserve">This file supports chronic steroid exposure and taper uncertainty. It must not be read as a single hidden diagnosis or an answer file.</w:t>
      </w:r>
    </w:p>
    <w:p>
      <w:pPr>
        <w:pStyle w:val="BodyText"/>
      </w:pPr>
      <w:r>
        <w:t xml:space="preserve">No post-world information, inpatient discharge plan, task framing, expected output, golden response, or grader guidance is present in this file.</w:t>
      </w:r>
    </w:p>
    <w:bookmarkEnd w:id="14"/>
    <w:bookmarkEnd w:id="15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2026-06-04T06:11:17Z</dcterms:created>
  <dcterms:modified xsi:type="dcterms:W3CDTF">2026-06-04T06:11:17Z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