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66f16ec915d835d293b1d5e9b0484e1db3933ff"/>
    <w:p>
      <w:pPr>
        <w:pStyle w:val="Heading1"/>
      </w:pPr>
      <w:r>
        <w:t xml:space="preserve">FI-W08 - HD1-HD2 Hospitalist Progress Documentation</w:t>
      </w:r>
    </w:p>
    <w:p>
      <w:pPr>
        <w:pStyle w:val="FirstParagraph"/>
      </w:pPr>
      <w:r>
        <w:t xml:space="preserve">File ID: FI-W08</w:t>
      </w:r>
    </w:p>
    <w:p>
      <w:pPr>
        <w:pStyle w:val="BodyText"/>
      </w:pPr>
      <w:r>
        <w:t xml:space="preserve">File Type: HD1-HD2 hospitalist progress documentation</w:t>
      </w:r>
    </w:p>
    <w:p>
      <w:pPr>
        <w:pStyle w:val="BodyText"/>
      </w:pPr>
      <w:r>
        <w:t xml:space="preserve">Level: World-Level</w:t>
      </w:r>
    </w:p>
    <w:p>
      <w:pPr>
        <w:pStyle w:val="BodyText"/>
      </w:pPr>
      <w:r>
        <w:t xml:space="preserve">Approximate Date / Anchor: 05/18/2026-05/19/2026 / HD1-HD2</w:t>
      </w:r>
    </w:p>
    <w:p>
      <w:pPr>
        <w:pStyle w:val="BodyText"/>
      </w:pPr>
      <w:r>
        <w:t xml:space="preserve">Author / Source: Dr. Elian Vossmere / Hospitalist Service</w:t>
      </w:r>
    </w:p>
    <w:p>
      <w:pPr>
        <w:pStyle w:val="BodyText"/>
      </w:pPr>
      <w:r>
        <w:t xml:space="preserve">Tool / Origin: Writer-created synthetic chart file</w:t>
      </w:r>
    </w:p>
    <w:p>
      <w:pPr>
        <w:pStyle w:val="BodyText"/>
      </w:pPr>
      <w:r>
        <w:t xml:space="preserve">Purpose: Show early response, stabilization, evolving diagnostic frame, and early medication-safety reasoning.</w:t>
      </w:r>
    </w:p>
    <w:p>
      <w:pPr>
        <w:pStyle w:val="BodyText"/>
      </w:pPr>
      <w:r>
        <w:t xml:space="preserve">Supported Workflow(s) / Trap(s) / Friction(s): Hospital Discharge Summary Generation; Discharge Medication Reconciliation; Interdisciplinary Care Plan Development and Documentation; Traps #2, #4</w:t>
      </w:r>
    </w:p>
    <w:p>
      <w:pPr>
        <w:pStyle w:val="BodyText"/>
      </w:pPr>
      <w:r>
        <w:t xml:space="preserve">World Boundary: contains only information available through 05/19/2026. It contains no discharge outcome, post-discharge follow-up, task framing, expected output, golden response, or grader guidance.</w:t>
      </w:r>
    </w:p>
    <w:bookmarkStart w:id="11" w:name="hospitalist-progress-documentation"/>
    <w:p>
      <w:pPr>
        <w:pStyle w:val="Heading2"/>
      </w:pPr>
      <w:r>
        <w:t xml:space="preserve">Hospitalist Progress Documentation</w:t>
      </w:r>
    </w:p>
    <w:p>
      <w:pPr>
        <w:pStyle w:val="FirstParagraph"/>
      </w:pPr>
      <w:r>
        <w:t xml:space="preserve">Patient: Korvin Merrow</w:t>
      </w:r>
    </w:p>
    <w:p>
      <w:pPr>
        <w:pStyle w:val="BodyText"/>
      </w:pPr>
      <w:r>
        <w:t xml:space="preserve">Attending: Dr. Elian Vossmere</w:t>
      </w:r>
    </w:p>
    <w:p>
      <w:pPr>
        <w:pStyle w:val="BodyText"/>
      </w:pPr>
      <w:r>
        <w:t xml:space="preserve">Service: Hospitalist Service</w:t>
      </w:r>
    </w:p>
    <w:bookmarkStart w:id="9" w:name="hd1-progress-note---05182026"/>
    <w:p>
      <w:pPr>
        <w:pStyle w:val="Heading3"/>
      </w:pPr>
      <w:r>
        <w:t xml:space="preserve">HD1 Progress Note - 05/18/2026</w:t>
      </w:r>
    </w:p>
    <w:p>
      <w:pPr>
        <w:pStyle w:val="FirstParagraph"/>
      </w:pPr>
      <w:r>
        <w:t xml:space="preserve">Korvin remains admitted after ED evaluation for progressive weakness, poor oral intake, near-fall/lightheadedness, family-noticed confusion, possible urinary symptoms, borderline hemodynamic concern, and suspected urinary-source infection. Sepsis-oriented treatment remains clinically reasonable at this stage, but the admission picture is not interpreted as infection alone.</w:t>
      </w:r>
    </w:p>
    <w:p>
      <w:pPr>
        <w:pStyle w:val="BodyText"/>
      </w:pPr>
      <w:r>
        <w:t xml:space="preserve">Family reports several weeks of decline before presentation. Baseline comparison is important because Mara Merrow describes Korvin as normally independent with some chronic slowing, occasional cane use, and mild forgetfulness only. Current weakness and slowed responses are a meaningful deviation from that baseline.</w:t>
      </w:r>
    </w:p>
    <w:p>
      <w:pPr>
        <w:pStyle w:val="BodyText"/>
      </w:pPr>
      <w:r>
        <w:t xml:space="preserve">Assessment today:</w:t>
      </w:r>
    </w:p>
    <w:p>
      <w:pPr>
        <w:pStyle w:val="Compact"/>
        <w:numPr>
          <w:ilvl w:val="0"/>
          <w:numId w:val="1001"/>
        </w:numPr>
      </w:pPr>
      <w:r>
        <w:t xml:space="preserve">Suspected urinary-source infection with systemic symptoms.</w:t>
      </w:r>
    </w:p>
    <w:p>
      <w:pPr>
        <w:pStyle w:val="Compact"/>
        <w:numPr>
          <w:ilvl w:val="0"/>
          <w:numId w:val="1001"/>
        </w:numPr>
      </w:pPr>
      <w:r>
        <w:t xml:space="preserve">AKI-on-CKD risk in the setting of poor intake, volume vulnerability, HFrEF, and renal-sensitive medications.</w:t>
      </w:r>
    </w:p>
    <w:p>
      <w:pPr>
        <w:pStyle w:val="Compact"/>
        <w:numPr>
          <w:ilvl w:val="0"/>
          <w:numId w:val="1001"/>
        </w:numPr>
      </w:pPr>
      <w:r>
        <w:t xml:space="preserve">Altered baseline mental status, improved from initial presentation but not established as baseline.</w:t>
      </w:r>
    </w:p>
    <w:p>
      <w:pPr>
        <w:pStyle w:val="Compact"/>
        <w:numPr>
          <w:ilvl w:val="0"/>
          <w:numId w:val="1001"/>
        </w:numPr>
      </w:pPr>
      <w:r>
        <w:t xml:space="preserve">Progressive functional decline and near-fall context.</w:t>
      </w:r>
    </w:p>
    <w:p>
      <w:pPr>
        <w:pStyle w:val="Compact"/>
        <w:numPr>
          <w:ilvl w:val="0"/>
          <w:numId w:val="1001"/>
        </w:numPr>
      </w:pPr>
      <w:r>
        <w:t xml:space="preserve">Chronic prednisone exposure with unclear recent taper/adherence.</w:t>
      </w:r>
    </w:p>
    <w:p>
      <w:pPr>
        <w:pStyle w:val="Compact"/>
        <w:numPr>
          <w:ilvl w:val="0"/>
          <w:numId w:val="1001"/>
        </w:numPr>
      </w:pPr>
      <w:r>
        <w:t xml:space="preserve">High medication burden with several acute-illness-sensitive medications.</w:t>
      </w:r>
    </w:p>
    <w:p>
      <w:pPr>
        <w:pStyle w:val="FirstParagraph"/>
      </w:pPr>
      <w:r>
        <w:t xml:space="preserve">Initial medication-safety approach:</w:t>
      </w:r>
    </w:p>
    <w:p>
      <w:pPr>
        <w:pStyle w:val="Compact"/>
        <w:numPr>
          <w:ilvl w:val="0"/>
          <w:numId w:val="1002"/>
        </w:numPr>
      </w:pPr>
      <w:r>
        <w:t xml:space="preserve">Continue essential non-hemodynamically destabilizing chronic therapy where clinically appropriate.</w:t>
      </w:r>
    </w:p>
    <w:p>
      <w:pPr>
        <w:pStyle w:val="Compact"/>
        <w:numPr>
          <w:ilvl w:val="0"/>
          <w:numId w:val="1002"/>
        </w:numPr>
      </w:pPr>
      <w:r>
        <w:t xml:space="preserve">Hold or defer renal/hemodynamic-sensitive chronic therapies while oral intake, kidney function, and blood pressure are reassessed.</w:t>
      </w:r>
    </w:p>
    <w:p>
      <w:pPr>
        <w:pStyle w:val="Compact"/>
        <w:numPr>
          <w:ilvl w:val="0"/>
          <w:numId w:val="1002"/>
        </w:numPr>
      </w:pPr>
      <w:r>
        <w:t xml:space="preserve">Do not assume early holds are final discharge decisions.</w:t>
      </w:r>
    </w:p>
    <w:p>
      <w:pPr>
        <w:pStyle w:val="Compact"/>
        <w:numPr>
          <w:ilvl w:val="0"/>
          <w:numId w:val="1002"/>
        </w:numPr>
      </w:pPr>
      <w:r>
        <w:t xml:space="preserve">Do not rely on patient recollection alone for prednisone history.</w:t>
      </w:r>
    </w:p>
    <w:p>
      <w:pPr>
        <w:pStyle w:val="FirstParagraph"/>
      </w:pPr>
      <w:r>
        <w:t xml:space="preserve">The team reviewed the initial medication reconciliation and pharmacy history. Prednisone history remains incomplete because patient recollection, family understanding, medication bottle information, and fill history do not fully settle the recent taper. Outpatient rheumatology provenance is not yet available in the active inpatient chart.</w:t>
      </w:r>
    </w:p>
    <w:p>
      <w:pPr>
        <w:pStyle w:val="BodyText"/>
      </w:pPr>
      <w:r>
        <w:t xml:space="preserve">Disposition: not discharge ready. Current priority is stabilization, infection treatment, renal/hemodynamic monitoring, and functional observation.</w:t>
      </w:r>
    </w:p>
    <w:bookmarkEnd w:id="9"/>
    <w:bookmarkStart w:id="10" w:name="hd2-progress-note---05192026"/>
    <w:p>
      <w:pPr>
        <w:pStyle w:val="Heading3"/>
      </w:pPr>
      <w:r>
        <w:t xml:space="preserve">HD2 Progress Note - 05/19/2026</w:t>
      </w:r>
    </w:p>
    <w:p>
      <w:pPr>
        <w:pStyle w:val="FirstParagraph"/>
      </w:pPr>
      <w:r>
        <w:t xml:space="preserve">Korvin is less acutely ill appearing than on arrival. Alertness and oral intake are somewhat improved, but he remains weak and slower than family describes as baseline. He requires continued assistance with mobility and routine inpatient care.</w:t>
      </w:r>
    </w:p>
    <w:p>
      <w:pPr>
        <w:pStyle w:val="BodyText"/>
      </w:pPr>
      <w:r>
        <w:t xml:space="preserve">The initial infection frame remains reasonable, but it is not sufficient to explain every feature of the case. Poor intake, volume depletion, medication effects, CKD/HF physiology, diabetic neuropathy, deconditioning, and steroid exposure/taper uncertainty remain active contributors to consider.</w:t>
      </w:r>
    </w:p>
    <w:p>
      <w:pPr>
        <w:pStyle w:val="BodyText"/>
      </w:pPr>
      <w:r>
        <w:t xml:space="preserve">Medication-safety reassessment:</w:t>
      </w:r>
    </w:p>
    <w:p>
      <w:pPr>
        <w:pStyle w:val="Compact"/>
        <w:numPr>
          <w:ilvl w:val="0"/>
          <w:numId w:val="1003"/>
        </w:numPr>
      </w:pPr>
      <w:r>
        <w:t xml:space="preserve">Early holds remain appropriate for several chronic medications affected by AKI risk, poor intake, and hemodynamic status.</w:t>
      </w:r>
    </w:p>
    <w:p>
      <w:pPr>
        <w:pStyle w:val="Compact"/>
        <w:numPr>
          <w:ilvl w:val="0"/>
          <w:numId w:val="1003"/>
        </w:numPr>
      </w:pPr>
      <w:r>
        <w:t xml:space="preserve">HFrEF/CAD protective medications should not be permanently lost without reassessment as the patient improves.</w:t>
      </w:r>
    </w:p>
    <w:p>
      <w:pPr>
        <w:pStyle w:val="Compact"/>
        <w:numPr>
          <w:ilvl w:val="0"/>
          <w:numId w:val="1003"/>
        </w:numPr>
      </w:pPr>
      <w:r>
        <w:t xml:space="preserve">Diabetes medications require renal and intake-aware review.</w:t>
      </w:r>
    </w:p>
    <w:p>
      <w:pPr>
        <w:pStyle w:val="Compact"/>
        <w:numPr>
          <w:ilvl w:val="0"/>
          <w:numId w:val="1003"/>
        </w:numPr>
      </w:pPr>
      <w:r>
        <w:t xml:space="preserve">Gabapentin and overall medication burden remain relevant to weakness, cognition, and home safety.</w:t>
      </w:r>
    </w:p>
    <w:p>
      <w:pPr>
        <w:pStyle w:val="Compact"/>
        <w:numPr>
          <w:ilvl w:val="0"/>
          <w:numId w:val="1003"/>
        </w:numPr>
      </w:pPr>
      <w:r>
        <w:t xml:space="preserve">Prednisone should be continued or adjusted only after source hierarchy is clarified enough for safe inpatient reasoning.</w:t>
      </w:r>
    </w:p>
    <w:p>
      <w:pPr>
        <w:pStyle w:val="FirstParagraph"/>
      </w:pPr>
      <w:r>
        <w:t xml:space="preserve">Consultant involvement is becoming clinically relevant because the renal/hemodynamic trajectory and HFrEF/CAD protection need time-sensitive synthesis. No consultant recommendation is treated as final in this note.</w:t>
      </w:r>
    </w:p>
    <w:p>
      <w:pPr>
        <w:pStyle w:val="BodyText"/>
      </w:pPr>
      <w:r>
        <w:t xml:space="preserve">Disposition: not discharge ready. Medical trajectory is improving, but renal trend, medication strategy, cognition, mobility, and steroid history remain unsettled.</w:t>
      </w:r>
    </w:p>
    <w:bookmarkEnd w:id="10"/>
    <w:bookmarkEnd w:id="11"/>
    <w:bookmarkStart w:id="12" w:name="guardrails"/>
    <w:p>
      <w:pPr>
        <w:pStyle w:val="Heading2"/>
      </w:pPr>
      <w:r>
        <w:t xml:space="preserve">Guardrails</w:t>
      </w:r>
    </w:p>
    <w:p>
      <w:pPr>
        <w:pStyle w:val="FirstParagraph"/>
      </w:pPr>
      <w:r>
        <w:t xml:space="preserve">This file supports early hospital-course evolution. It does not establish the final infection source, final steroid interpretation, final medication plan, or discharge readiness.</w:t>
      </w:r>
    </w:p>
    <w:p>
      <w:pPr>
        <w:pStyle w:val="BodyText"/>
      </w:pPr>
      <w:r>
        <w:t xml:space="preserve">FI-W06 outpatient rheumatology provenance is not used here because its locked availability is by HD4.</w:t>
      </w:r>
    </w:p>
    <w:bookmarkEnd w:id="12"/>
    <w:bookmarkEnd w:id="13"/>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2026-06-04T06:11:17Z</dcterms:created>
  <dcterms:modified xsi:type="dcterms:W3CDTF">2026-06-04T06:11:17Z</dcterms:modified>
</cp:coreProperties>
</file>

<file path=docProps/custom.xml><?xml version="1.0" encoding="utf-8"?>
<Properties xmlns="http://schemas.openxmlformats.org/officeDocument/2006/custom-properties" xmlns:vt="http://schemas.openxmlformats.org/officeDocument/2006/docPropsVTypes"/>
</file>