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acb1b385d1078e2185ea3eac31ffb196f59b8bd"/>
    <w:p>
      <w:pPr>
        <w:pStyle w:val="Heading1"/>
      </w:pPr>
      <w:r>
        <w:t xml:space="preserve">FI-W09 - HD3 Hospitalist Progress Documentation</w:t>
      </w:r>
    </w:p>
    <w:p>
      <w:pPr>
        <w:pStyle w:val="FirstParagraph"/>
      </w:pPr>
      <w:r>
        <w:t xml:space="preserve">File ID: FI-W09</w:t>
      </w:r>
    </w:p>
    <w:p>
      <w:pPr>
        <w:pStyle w:val="BodyText"/>
      </w:pPr>
      <w:r>
        <w:t xml:space="preserve">File Type: HD3 hospitalist progress documentation</w:t>
      </w:r>
    </w:p>
    <w:p>
      <w:pPr>
        <w:pStyle w:val="BodyText"/>
      </w:pPr>
      <w:r>
        <w:t xml:space="preserve">Level: World-Level</w:t>
      </w:r>
    </w:p>
    <w:p>
      <w:pPr>
        <w:pStyle w:val="BodyText"/>
      </w:pPr>
      <w:r>
        <w:t xml:space="preserve">Approximate Date / Anchor: 05/20/2026 / HD3</w:t>
      </w:r>
    </w:p>
    <w:p>
      <w:pPr>
        <w:pStyle w:val="BodyText"/>
      </w:pPr>
      <w:r>
        <w:t xml:space="preserve">Author / Source: Hospitalist Service</w:t>
      </w:r>
    </w:p>
    <w:p>
      <w:pPr>
        <w:pStyle w:val="BodyText"/>
      </w:pPr>
      <w:r>
        <w:t xml:space="preserve">Tool / Origin: Writer-created synthetic chart file</w:t>
      </w:r>
    </w:p>
    <w:p>
      <w:pPr>
        <w:pStyle w:val="BodyText"/>
      </w:pPr>
      <w:r>
        <w:t xml:space="preserve">Purpose: Show the transition from acute stabilization toward functional/cognitive and discharge-readiness concerns.</w:t>
      </w:r>
    </w:p>
    <w:p>
      <w:pPr>
        <w:pStyle w:val="BodyText"/>
      </w:pPr>
      <w:r>
        <w:t xml:space="preserve">Supported Workflow(s) / Trap(s) / Friction(s): Hospital Discharge Summary Generation; Discharge Planning Documentation; Traps #3, #4</w:t>
      </w:r>
    </w:p>
    <w:p>
      <w:pPr>
        <w:pStyle w:val="BodyText"/>
      </w:pPr>
      <w:r>
        <w:t xml:space="preserve">World Boundary: contains only information available through 05/20/2026. It contains no discharge outcome, post-discharge follow-up, task framing, expected output, golden response, or grader guidance.</w:t>
      </w:r>
    </w:p>
    <w:bookmarkStart w:id="9" w:name="hospitalist-progress-documentation"/>
    <w:p>
      <w:pPr>
        <w:pStyle w:val="Heading2"/>
      </w:pPr>
      <w:r>
        <w:t xml:space="preserve">Hospitalist Progress Documentation</w:t>
      </w:r>
    </w:p>
    <w:p>
      <w:pPr>
        <w:pStyle w:val="FirstParagraph"/>
      </w:pPr>
      <w:r>
        <w:t xml:space="preserve">Patient: Korvin Merrow</w:t>
      </w:r>
    </w:p>
    <w:p>
      <w:pPr>
        <w:pStyle w:val="BodyText"/>
      </w:pPr>
      <w:r>
        <w:t xml:space="preserve">Service: Hospitalist Service</w:t>
      </w:r>
    </w:p>
    <w:p>
      <w:pPr>
        <w:pStyle w:val="BodyText"/>
      </w:pPr>
      <w:r>
        <w:t xml:space="preserve">Hospital Day: HD3</w:t>
      </w:r>
    </w:p>
    <w:p>
      <w:pPr>
        <w:pStyle w:val="BodyText"/>
      </w:pPr>
      <w:r>
        <w:t xml:space="preserve">Date: 05/20/2026</w:t>
      </w:r>
    </w:p>
    <w:bookmarkEnd w:id="9"/>
    <w:bookmarkStart w:id="10" w:name="subjective-interval-context"/>
    <w:p>
      <w:pPr>
        <w:pStyle w:val="Heading2"/>
      </w:pPr>
      <w:r>
        <w:t xml:space="preserve">Subjective / Interval Context</w:t>
      </w:r>
    </w:p>
    <w:p>
      <w:pPr>
        <w:pStyle w:val="FirstParagraph"/>
      </w:pPr>
      <w:r>
        <w:t xml:space="preserve">Korvin reports feeling</w:t>
      </w:r>
      <w:r>
        <w:t xml:space="preserve"> </w:t>
      </w:r>
      <w:r>
        <w:t xml:space="preserve">“a little better”</w:t>
      </w:r>
      <w:r>
        <w:t xml:space="preserve"> </w:t>
      </w:r>
      <w:r>
        <w:t xml:space="preserve">compared with admission. He is eating more than on arrival but still tires quickly. He remains uncertain when asked detailed questions about recent medication use and prednisone taper instructions.</w:t>
      </w:r>
    </w:p>
    <w:p>
      <w:pPr>
        <w:pStyle w:val="BodyText"/>
      </w:pPr>
      <w:r>
        <w:t xml:space="preserve">Mara Merrow says Korvin looks better than he did in the ED but is still not acting like his usual self. She notes he is slower to organize simple tasks, needs more prompting, and has not demonstrated the level of independent mobility she would expect at home.</w:t>
      </w:r>
    </w:p>
    <w:bookmarkEnd w:id="10"/>
    <w:bookmarkStart w:id="11" w:name="clinical-course"/>
    <w:p>
      <w:pPr>
        <w:pStyle w:val="Heading2"/>
      </w:pPr>
      <w:r>
        <w:t xml:space="preserve">Clinical Course</w:t>
      </w:r>
    </w:p>
    <w:p>
      <w:pPr>
        <w:pStyle w:val="FirstParagraph"/>
      </w:pPr>
      <w:r>
        <w:t xml:space="preserve">The acute infection-oriented treatment course appears to be helping, but improvement is partial. The team continues to view suspected urinary-source infection as a reasonable part of the presentation while avoiding premature closure.</w:t>
      </w:r>
    </w:p>
    <w:p>
      <w:pPr>
        <w:pStyle w:val="BodyText"/>
      </w:pPr>
      <w:r>
        <w:t xml:space="preserve">Active inpatient issues:</w:t>
      </w:r>
    </w:p>
    <w:p>
      <w:pPr>
        <w:pStyle w:val="Compact"/>
        <w:numPr>
          <w:ilvl w:val="0"/>
          <w:numId w:val="1001"/>
        </w:numPr>
      </w:pPr>
      <w:r>
        <w:t xml:space="preserve">Improving suspected infection physiology.</w:t>
      </w:r>
    </w:p>
    <w:p>
      <w:pPr>
        <w:pStyle w:val="Compact"/>
        <w:numPr>
          <w:ilvl w:val="0"/>
          <w:numId w:val="1001"/>
        </w:numPr>
      </w:pPr>
      <w:r>
        <w:t xml:space="preserve">AKI-on-CKD improving but still relevant to medication decisions.</w:t>
      </w:r>
    </w:p>
    <w:p>
      <w:pPr>
        <w:pStyle w:val="Compact"/>
        <w:numPr>
          <w:ilvl w:val="0"/>
          <w:numId w:val="1001"/>
        </w:numPr>
      </w:pPr>
      <w:r>
        <w:t xml:space="preserve">Oral intake improving but not fully reliable.</w:t>
      </w:r>
    </w:p>
    <w:p>
      <w:pPr>
        <w:pStyle w:val="Compact"/>
        <w:numPr>
          <w:ilvl w:val="0"/>
          <w:numId w:val="1001"/>
        </w:numPr>
      </w:pPr>
      <w:r>
        <w:t xml:space="preserve">Weakness and unsteadiness persist after initial stabilization.</w:t>
      </w:r>
    </w:p>
    <w:p>
      <w:pPr>
        <w:pStyle w:val="Compact"/>
        <w:numPr>
          <w:ilvl w:val="0"/>
          <w:numId w:val="1001"/>
        </w:numPr>
      </w:pPr>
      <w:r>
        <w:t xml:space="preserve">Cognition is improved from presentation but not clearly back to baseline.</w:t>
      </w:r>
    </w:p>
    <w:p>
      <w:pPr>
        <w:pStyle w:val="Compact"/>
        <w:numPr>
          <w:ilvl w:val="0"/>
          <w:numId w:val="1001"/>
        </w:numPr>
      </w:pPr>
      <w:r>
        <w:t xml:space="preserve">Medication restart decisions remain deferred pending trend and consultant context.</w:t>
      </w:r>
    </w:p>
    <w:p>
      <w:pPr>
        <w:pStyle w:val="Compact"/>
        <w:numPr>
          <w:ilvl w:val="0"/>
          <w:numId w:val="1001"/>
        </w:numPr>
      </w:pPr>
      <w:r>
        <w:t xml:space="preserve">Prednisone history remains unresolved by active inpatient sources.</w:t>
      </w:r>
    </w:p>
    <w:bookmarkEnd w:id="11"/>
    <w:bookmarkStart w:id="12" w:name="functional-cognitive-shift"/>
    <w:p>
      <w:pPr>
        <w:pStyle w:val="Heading2"/>
      </w:pPr>
      <w:r>
        <w:t xml:space="preserve">Functional / Cognitive Shift</w:t>
      </w:r>
    </w:p>
    <w:p>
      <w:pPr>
        <w:pStyle w:val="FirstParagraph"/>
      </w:pPr>
      <w:r>
        <w:t xml:space="preserve">The main change today is that functional and cognitive recovery are becoming harder to treat as minor residual symptoms. Nursing observations and early therapy contact suggest Korvin is not yet at his documented outpatient baseline. These concerns are easy to underweight because the physician-facing medical problems appear to be improving.</w:t>
      </w:r>
    </w:p>
    <w:p>
      <w:pPr>
        <w:pStyle w:val="BodyText"/>
      </w:pPr>
      <w:r>
        <w:t xml:space="preserve">Important observations noted in the hospitalist assessment:</w:t>
      </w:r>
    </w:p>
    <w:p>
      <w:pPr>
        <w:pStyle w:val="Compact"/>
        <w:numPr>
          <w:ilvl w:val="0"/>
          <w:numId w:val="1002"/>
        </w:numPr>
      </w:pPr>
      <w:r>
        <w:t xml:space="preserve">Ambulation tolerance remains limited.</w:t>
      </w:r>
    </w:p>
    <w:p>
      <w:pPr>
        <w:pStyle w:val="Compact"/>
        <w:numPr>
          <w:ilvl w:val="0"/>
          <w:numId w:val="1002"/>
        </w:numPr>
      </w:pPr>
      <w:r>
        <w:t xml:space="preserve">Transfers require more supervision than family expects at baseline.</w:t>
      </w:r>
    </w:p>
    <w:p>
      <w:pPr>
        <w:pStyle w:val="Compact"/>
        <w:numPr>
          <w:ilvl w:val="0"/>
          <w:numId w:val="1002"/>
        </w:numPr>
      </w:pPr>
      <w:r>
        <w:t xml:space="preserve">Cognitive slowing may be improving but still affects medication-history reliability.</w:t>
      </w:r>
    </w:p>
    <w:p>
      <w:pPr>
        <w:pStyle w:val="Compact"/>
        <w:numPr>
          <w:ilvl w:val="0"/>
          <w:numId w:val="1002"/>
        </w:numPr>
      </w:pPr>
      <w:r>
        <w:t xml:space="preserve">Family concern is clinically relevant because it compares current status to baseline function.</w:t>
      </w:r>
    </w:p>
    <w:p>
      <w:pPr>
        <w:pStyle w:val="FirstParagraph"/>
      </w:pPr>
      <w:r>
        <w:t xml:space="preserve">This note does not replace future nursing, PT, OT, family, or care-coordination sources. It records that the concern is emerging in the hospitalist frame.</w:t>
      </w:r>
    </w:p>
    <w:bookmarkEnd w:id="12"/>
    <w:bookmarkStart w:id="13" w:name="medication-consultant-context"/>
    <w:p>
      <w:pPr>
        <w:pStyle w:val="Heading2"/>
      </w:pPr>
      <w:r>
        <w:t xml:space="preserve">Medication / Consultant Context</w:t>
      </w:r>
    </w:p>
    <w:p>
      <w:pPr>
        <w:pStyle w:val="FirstParagraph"/>
      </w:pPr>
      <w:r>
        <w:t xml:space="preserve">The chronic cardiorenal medication plan remains in reassessment mode. Early acute-illness holds cannot simply be copied forward, but full restart is not established by this note. Cardiology and nephrology perspectives may both be relevant as renal/hemodynamic status evolves.</w:t>
      </w:r>
    </w:p>
    <w:p>
      <w:pPr>
        <w:pStyle w:val="BodyText"/>
      </w:pPr>
      <w:r>
        <w:t xml:space="preserve">Prednisone uncertainty remains a source problem, not a completed diagnosis. Patient recollection is not reliable enough to reconstruct the recent taper.</w:t>
      </w:r>
    </w:p>
    <w:bookmarkEnd w:id="13"/>
    <w:bookmarkStart w:id="14" w:name="assessment"/>
    <w:p>
      <w:pPr>
        <w:pStyle w:val="Heading2"/>
      </w:pPr>
      <w:r>
        <w:t xml:space="preserve">Assessment</w:t>
      </w:r>
    </w:p>
    <w:p>
      <w:pPr>
        <w:pStyle w:val="FirstParagraph"/>
      </w:pPr>
      <w:r>
        <w:t xml:space="preserve">Korvin is clinically improved compared with admission, but the improvement does not prove that infection explains the entire presentation or that discharge readiness is near. Persistent weakness, cognition, medication complexity, and baseline deviation remain important.</w:t>
      </w:r>
    </w:p>
    <w:bookmarkEnd w:id="14"/>
    <w:bookmarkStart w:id="15" w:name="disposition"/>
    <w:p>
      <w:pPr>
        <w:pStyle w:val="Heading2"/>
      </w:pPr>
      <w:r>
        <w:t xml:space="preserve">Disposition</w:t>
      </w:r>
    </w:p>
    <w:p>
      <w:pPr>
        <w:pStyle w:val="FirstParagraph"/>
      </w:pPr>
      <w:r>
        <w:t xml:space="preserve">Not discharge ready on HD3. Continue inpatient monitoring, functional assessment, source review, and medication-safety reassessment.</w:t>
      </w:r>
    </w:p>
    <w:bookmarkEnd w:id="15"/>
    <w:bookmarkStart w:id="16" w:name="guardrails"/>
    <w:p>
      <w:pPr>
        <w:pStyle w:val="Heading2"/>
      </w:pPr>
      <w:r>
        <w:t xml:space="preserve">Guardrails</w:t>
      </w:r>
    </w:p>
    <w:p>
      <w:pPr>
        <w:pStyle w:val="FirstParagraph"/>
      </w:pPr>
      <w:r>
        <w:t xml:space="preserve">This file supports Trap #3 by making functional and cognitive concerns visible but not fully elaborated in physician documentation. It does not become the final functional source, final disposition answer, or final discharge plan.</w:t>
      </w:r>
    </w:p>
    <w:bookmarkEnd w:id="16"/>
    <w:bookmarkEnd w:id="17"/>
    <w:sectPr>
      <w:pgSz w:h="15840" w:orient="portrait" w:w="12240"/>
      <w:pgMar w:bottom="1080" w:footer="708" w:header="708" w:left="1080" w:right="1080" w:top="108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lvl>
    <w:lvl w:ilvl="1">
      <w:start w:val="1"/>
      <w:numFmt w:val="bullet"/>
      <w:lvlText w:val="○"/>
      <w:lvlJc w:val="left"/>
      <w:pPr>
        <w:ind w:hanging="360" w:left="1440"/>
      </w:pPr>
      <w:rPr/>
    </w:lvl>
    <w:lvl w:ilvl="2">
      <w:start w:val="1"/>
      <w:numFmt w:val="bullet"/>
      <w:lvlText w:val="■"/>
      <w:lvlJc w:val="left"/>
      <w:pPr>
        <w:ind w:hanging="360" w:left="2160"/>
      </w:pPr>
      <w:rPr/>
    </w:lvl>
    <w:lvl w:ilvl="3">
      <w:start w:val="1"/>
      <w:numFmt w:val="bullet"/>
      <w:lvlText w:val="●"/>
      <w:lvlJc w:val="left"/>
      <w:pPr>
        <w:ind w:hanging="360" w:left="2880"/>
      </w:pPr>
      <w:rPr/>
    </w:lvl>
    <w:lvl w:ilvl="4">
      <w:start w:val="1"/>
      <w:numFmt w:val="bullet"/>
      <w:lvlText w:val="○"/>
      <w:lvlJc w:val="left"/>
      <w:pPr>
        <w:ind w:hanging="360" w:left="3600"/>
      </w:pPr>
      <w:rPr/>
    </w:lvl>
    <w:lvl w:ilvl="5">
      <w:start w:val="1"/>
      <w:numFmt w:val="bullet"/>
      <w:lvlText w:val="■"/>
      <w:lvlJc w:val="left"/>
      <w:pPr>
        <w:ind w:hanging="360" w:left="4320"/>
      </w:pPr>
      <w:rPr/>
    </w:lvl>
    <w:lvl w:ilvl="6">
      <w:start w:val="1"/>
      <w:numFmt w:val="bullet"/>
      <w:lvlText w:val="●"/>
      <w:lvlJc w:val="left"/>
      <w:pPr>
        <w:ind w:hanging="360" w:left="5040"/>
      </w:pPr>
      <w:rPr/>
    </w:lvl>
    <w:lvl w:ilvl="7">
      <w:start w:val="1"/>
      <w:numFmt w:val="bullet"/>
      <w:lvlText w:val="●"/>
      <w:lvlJc w:val="left"/>
      <w:pPr>
        <w:ind w:hanging="360" w:left="5760"/>
      </w:pPr>
      <w:rPr/>
    </w:lvl>
    <w:lvl w:ilvl="8">
      <w:start w:val="1"/>
      <w:numFmt w:val="bullet"/>
      <w:lvlText w:val="●"/>
      <w:lvlJc w:val="left"/>
      <w:pPr>
        <w:ind w:hanging="360" w:left="648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firstLine="0" w:left="0" w:right="0"/>
      <w:jc w:val="left"/>
    </w:pPr>
    <w:rPr>
      <w:rFonts w:ascii="Arial" w:cs="Arial" w:eastAsia="Arial" w:hAnsi="Arial"/>
      <w:b w:val="1"/>
      <w:bCs w:val="1"/>
      <w:i w:val="0"/>
      <w:iCs w:val="0"/>
      <w:smallCaps w:val="0"/>
      <w:strike w:val="0"/>
      <w:color w:val="4472c4"/>
      <w:sz w:val="32"/>
      <w:szCs w:val="32"/>
      <w:u w:val="none"/>
      <w:shd w:fill="auto" w:val="clear"/>
      <w:vertAlign w:val="baseline"/>
    </w:rPr>
  </w:style>
  <w:style w:styleId="Heading2" w:type="paragraph">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firstLine="0" w:left="0" w:right="0"/>
      <w:jc w:val="left"/>
    </w:pPr>
    <w:rPr>
      <w:rFonts w:ascii="Arial" w:cs="Arial" w:eastAsia="Arial" w:hAnsi="Arial"/>
      <w:b w:val="1"/>
      <w:bCs w:val="1"/>
      <w:i w:val="0"/>
      <w:iCs w:val="0"/>
      <w:smallCaps w:val="0"/>
      <w:strike w:val="0"/>
      <w:color w:val="4472c4"/>
      <w:sz w:val="28"/>
      <w:szCs w:val="28"/>
      <w:u w:val="none"/>
      <w:shd w:fill="auto" w:val="clear"/>
      <w:vertAlign w:val="baseline"/>
    </w:rPr>
  </w:style>
  <w:style w:styleId="Heading3" w:type="paragraph">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4"/>
      <w:szCs w:val="24"/>
      <w:u w:val="none"/>
      <w:shd w:fill="auto" w:val="clear"/>
      <w:vertAlign w:val="baseline"/>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000000"/>
      <w:sz w:val="56"/>
      <w:szCs w:val="56"/>
      <w:u w:val="none"/>
      <w:shd w:fill="auto" w:val="clear"/>
      <w:vertAlign w:val="baseline"/>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Table4" w:type="table">
    <w:basedOn w:val="TableNormal"/>
    <w:tblPr>
      <w:tblStyleRowBandSize w:val="1"/>
      <w:tblStyleColBandSize w:val="1"/>
      <w:tblCellMar>
        <w:top w:type="dxa" w:w="0.0"/>
        <w:left w:type="dxa" w:w="115.0"/>
        <w:bottom w:type="dxa" w:w="0.0"/>
        <w:right w:type="dxa" w:w="115.0"/>
      </w:tblCellMar>
    </w:tblPr>
  </w:style>
  <w:style w:styleId="Table5" w:type="table">
    <w:basedOn w:val="TableNormal"/>
    <w:tblPr>
      <w:tblStyleRowBandSize w:val="1"/>
      <w:tblStyleColBandSize w:val="1"/>
      <w:tblCellMar>
        <w:top w:type="dxa" w:w="0.0"/>
        <w:left w:type="dxa" w:w="115.0"/>
        <w:bottom w:type="dxa" w:w="0.0"/>
        <w:right w:type="dxa" w:w="115.0"/>
      </w:tblCellMar>
    </w:tblPr>
  </w:style>
  <w:style w:styleId="Table6" w:type="table">
    <w:basedOn w:val="TableNormal"/>
    <w:tblPr>
      <w:tblStyleRowBandSize w:val="1"/>
      <w:tblStyleColBandSize w:val="1"/>
      <w:tblCellMar>
        <w:top w:type="dxa" w:w="0.0"/>
        <w:left w:type="dxa" w:w="115.0"/>
        <w:bottom w:type="dxa" w:w="0.0"/>
        <w:right w:type="dxa" w:w="115.0"/>
      </w:tblCellMar>
    </w:tblPr>
  </w:style>
  <w:style w:styleId="Table7" w:type="table">
    <w:basedOn w:val="TableNormal"/>
    <w:tblPr>
      <w:tblStyleRowBandSize w:val="1"/>
      <w:tblStyleColBandSize w:val="1"/>
      <w:tblCellMar>
        <w:top w:type="dxa" w:w="0.0"/>
        <w:left w:type="dxa" w:w="115.0"/>
        <w:bottom w:type="dxa" w:w="0.0"/>
        <w:right w:type="dxa" w:w="115.0"/>
      </w:tblCellMar>
    </w:tblPr>
  </w:style>
  <w:style w:styleId="Table8" w:type="table">
    <w:basedOn w:val="TableNormal"/>
    <w:tblPr>
      <w:tblStyleRowBandSize w:val="1"/>
      <w:tblStyleColBandSize w:val="1"/>
      <w:tblCellMar>
        <w:top w:type="dxa" w:w="0.0"/>
        <w:left w:type="dxa" w:w="115.0"/>
        <w:bottom w:type="dxa" w:w="0.0"/>
        <w:right w:type="dxa" w:w="115.0"/>
      </w:tblCellMar>
    </w:tblPr>
  </w:style>
  <w:style w:styleId="Table9" w:type="table">
    <w:basedOn w:val="TableNormal"/>
    <w:tblPr>
      <w:tblStyleRowBandSize w:val="1"/>
      <w:tblStyleColBandSize w:val="1"/>
      <w:tblCellMar>
        <w:top w:type="dxa" w:w="0.0"/>
        <w:left w:type="dxa" w:w="115.0"/>
        <w:bottom w:type="dxa" w:w="0.0"/>
        <w:right w:type="dxa" w:w="115.0"/>
      </w:tblCellMar>
    </w:tblPr>
  </w:style>
  <w:style w:styleId="Table10" w:type="table">
    <w:basedOn w:val="TableNormal"/>
    <w:tblPr>
      <w:tblStyleRowBandSize w:val="1"/>
      <w:tblStyleColBandSize w:val="1"/>
      <w:tblCellMar>
        <w:top w:type="dxa" w:w="0.0"/>
        <w:left w:type="dxa" w:w="115.0"/>
        <w:bottom w:type="dxa" w:w="0.0"/>
        <w:right w:type="dxa" w:w="115.0"/>
      </w:tblCellMar>
    </w:tblPr>
  </w:style>
  <w:style w:styleId="Table11" w:type="table">
    <w:basedOn w:val="TableNormal"/>
    <w:tblPr>
      <w:tblStyleRowBandSize w:val="1"/>
      <w:tblStyleColBandSize w:val="1"/>
      <w:tblCellMar>
        <w:top w:type="dxa" w:w="0.0"/>
        <w:left w:type="dxa" w:w="115.0"/>
        <w:bottom w:type="dxa" w:w="0.0"/>
        <w:right w:type="dxa" w:w="115.0"/>
      </w:tblCellMar>
    </w:tblPr>
  </w:style>
  <w:style w:styleId="Table12" w:type="table">
    <w:basedOn w:val="TableNormal"/>
    <w:tblPr>
      <w:tblStyleRowBandSize w:val="1"/>
      <w:tblStyleColBandSize w:val="1"/>
      <w:tblCellMar>
        <w:top w:type="dxa" w:w="0.0"/>
        <w:left w:type="dxa" w:w="115.0"/>
        <w:bottom w:type="dxa" w:w="0.0"/>
        <w:right w:type="dxa" w:w="115.0"/>
      </w:tblCellMar>
    </w:tblPr>
  </w:style>
  <w:style w:styleId="Table13" w:type="table">
    <w:basedOn w:val="TableNormal"/>
    <w:tblPr>
      <w:tblStyleRowBandSize w:val="1"/>
      <w:tblStyleColBandSize w:val="1"/>
      <w:tblCellMar>
        <w:top w:type="dxa" w:w="0.0"/>
        <w:left w:type="dxa" w:w="115.0"/>
        <w:bottom w:type="dxa" w:w="0.0"/>
        <w:right w:type="dxa" w:w="115.0"/>
      </w:tblCellMar>
    </w:tblPr>
  </w:style>
  <w:style w:styleId="Table14" w:type="table">
    <w:basedOn w:val="TableNormal"/>
    <w:tblPr>
      <w:tblStyleRowBandSize w:val="1"/>
      <w:tblStyleColBandSize w:val="1"/>
      <w:tblCellMar>
        <w:top w:type="dxa" w:w="0.0"/>
        <w:left w:type="dxa" w:w="115.0"/>
        <w:bottom w:type="dxa" w:w="0.0"/>
        <w:right w:type="dxa" w:w="115.0"/>
      </w:tblCellMar>
    </w:tblPr>
  </w:style>
  <w:style w:styleId="Table15" w:type="table">
    <w:basedOn w:val="TableNormal"/>
    <w:tblPr>
      <w:tblStyleRowBandSize w:val="1"/>
      <w:tblStyleColBandSize w:val="1"/>
      <w:tblCellMar>
        <w:top w:type="dxa" w:w="0.0"/>
        <w:left w:type="dxa" w:w="115.0"/>
        <w:bottom w:type="dxa" w:w="0.0"/>
        <w:right w:type="dxa" w:w="115.0"/>
      </w:tblCellMar>
    </w:tblPr>
  </w:style>
  <w:style w:styleId="Table16" w:type="table">
    <w:basedOn w:val="TableNormal"/>
    <w:tblPr>
      <w:tblStyleRowBandSize w:val="1"/>
      <w:tblStyleColBandSize w:val="1"/>
      <w:tblCellMar>
        <w:top w:type="dxa" w:w="0.0"/>
        <w:left w:type="dxa" w:w="115.0"/>
        <w:bottom w:type="dxa" w:w="0.0"/>
        <w:right w:type="dxa" w:w="115.0"/>
      </w:tblCellMar>
    </w:tblPr>
  </w:style>
  <w:style w:styleId="Table17" w:type="table">
    <w:basedOn w:val="TableNormal"/>
    <w:tblPr>
      <w:tblStyleRowBandSize w:val="1"/>
      <w:tblStyleColBandSize w:val="1"/>
      <w:tblCellMar>
        <w:top w:type="dxa" w:w="0.0"/>
        <w:left w:type="dxa" w:w="115.0"/>
        <w:bottom w:type="dxa" w:w="0.0"/>
        <w:right w:type="dxa" w:w="115.0"/>
      </w:tblCellMar>
    </w:tblPr>
  </w:style>
  <w:style w:styleId="Table18" w:type="table">
    <w:basedOn w:val="TableNormal"/>
    <w:tblPr>
      <w:tblStyleRowBandSize w:val="1"/>
      <w:tblStyleColBandSize w:val="1"/>
      <w:tblCellMar>
        <w:top w:type="dxa" w:w="0.0"/>
        <w:left w:type="dxa" w:w="115.0"/>
        <w:bottom w:type="dxa" w:w="0.0"/>
        <w:right w:type="dxa" w:w="115.0"/>
      </w:tblCellMar>
    </w:tblPr>
  </w:style>
  <w:style w:styleId="Table19" w:type="table">
    <w:basedOn w:val="TableNormal"/>
    <w:tblPr>
      <w:tblStyleRowBandSize w:val="1"/>
      <w:tblStyleColBandSize w:val="1"/>
      <w:tblCellMar>
        <w:top w:type="dxa" w:w="0.0"/>
        <w:left w:type="dxa" w:w="115.0"/>
        <w:bottom w:type="dxa" w:w="0.0"/>
        <w:right w:type="dxa" w:w="115.0"/>
      </w:tblCellMar>
    </w:tblPr>
  </w:style>
  <w:style w:styleId="Table20"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2026-06-04T06:11:17Z</dcterms:created>
  <dcterms:modified xsi:type="dcterms:W3CDTF">2026-06-04T06:11:17Z</dcterms:modified>
</cp:coreProperties>
</file>

<file path=docProps/custom.xml><?xml version="1.0" encoding="utf-8"?>
<Properties xmlns="http://schemas.openxmlformats.org/officeDocument/2006/custom-properties" xmlns:vt="http://schemas.openxmlformats.org/officeDocument/2006/docPropsVTypes"/>
</file>