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8e243e04be18495d329698d48add74e7a5b0762"/>
    <w:p>
      <w:pPr>
        <w:pStyle w:val="Heading1"/>
      </w:pPr>
      <w:r>
        <w:t xml:space="preserve">FI-W10 - HD4 Hospitalist Progress Documentation</w:t>
      </w:r>
    </w:p>
    <w:p>
      <w:pPr>
        <w:pStyle w:val="FirstParagraph"/>
      </w:pPr>
      <w:r>
        <w:t xml:space="preserve">File ID: FI-W10</w:t>
      </w:r>
    </w:p>
    <w:p>
      <w:pPr>
        <w:pStyle w:val="BodyText"/>
      </w:pPr>
      <w:r>
        <w:t xml:space="preserve">File Type: HD4 hospitalist progress documentation</w:t>
      </w:r>
    </w:p>
    <w:p>
      <w:pPr>
        <w:pStyle w:val="BodyText"/>
      </w:pPr>
      <w:r>
        <w:t xml:space="preserve">Level: World-Level</w:t>
      </w:r>
    </w:p>
    <w:p>
      <w:pPr>
        <w:pStyle w:val="BodyText"/>
      </w:pPr>
      <w:r>
        <w:t xml:space="preserve">Approximate Date / Anchor: 05/21/2026 / HD4</w:t>
      </w:r>
    </w:p>
    <w:p>
      <w:pPr>
        <w:pStyle w:val="BodyText"/>
      </w:pPr>
      <w:r>
        <w:t xml:space="preserve">Author / Source: Hospitalist Service</w:t>
      </w:r>
    </w:p>
    <w:p>
      <w:pPr>
        <w:pStyle w:val="BodyText"/>
      </w:pPr>
      <w:r>
        <w:t xml:space="preserve">Tool / Origin: Writer-created synthetic chart file</w:t>
      </w:r>
    </w:p>
    <w:p>
      <w:pPr>
        <w:pStyle w:val="BodyText"/>
      </w:pPr>
      <w:r>
        <w:t xml:space="preserve">Purpose: Surface consultant tensions, steroid-history inconsistency, and primary-team synthesis burden.</w:t>
      </w:r>
    </w:p>
    <w:p>
      <w:pPr>
        <w:pStyle w:val="BodyText"/>
      </w:pPr>
      <w:r>
        <w:t xml:space="preserve">Supported Workflow(s) / Trap(s) / Friction(s): Hospital Discharge Summary Generation; Interdisciplinary Care Plan Development and Documentation; Traps #1, #2, #4; all three frictions</w:t>
      </w:r>
    </w:p>
    <w:p>
      <w:pPr>
        <w:pStyle w:val="BodyText"/>
      </w:pPr>
      <w:r>
        <w:t xml:space="preserve">World Boundary: contains only information available through 05/21/2026. It contains no discharge outcome, post-discharge follow-up, task framing, expected output, golden response, or grader guidance.</w:t>
      </w:r>
    </w:p>
    <w:bookmarkStart w:id="9" w:name="hospitalist-progress-documentation"/>
    <w:p>
      <w:pPr>
        <w:pStyle w:val="Heading2"/>
      </w:pPr>
      <w:r>
        <w:t xml:space="preserve">Hospitalist Progress Documentation</w:t>
      </w:r>
    </w:p>
    <w:p>
      <w:pPr>
        <w:pStyle w:val="FirstParagraph"/>
      </w:pPr>
      <w:r>
        <w:t xml:space="preserve">Patient: Korvin Merrow</w:t>
      </w:r>
    </w:p>
    <w:p>
      <w:pPr>
        <w:pStyle w:val="BodyText"/>
      </w:pPr>
      <w:r>
        <w:t xml:space="preserve">Service: Hospitalist Service</w:t>
      </w:r>
    </w:p>
    <w:p>
      <w:pPr>
        <w:pStyle w:val="BodyText"/>
      </w:pPr>
      <w:r>
        <w:t xml:space="preserve">Hospital Day: HD4</w:t>
      </w:r>
    </w:p>
    <w:p>
      <w:pPr>
        <w:pStyle w:val="BodyText"/>
      </w:pPr>
      <w:r>
        <w:t xml:space="preserve">Date: 05/21/2026</w:t>
      </w:r>
    </w:p>
    <w:bookmarkEnd w:id="9"/>
    <w:bookmarkStart w:id="10" w:name="interval-summary"/>
    <w:p>
      <w:pPr>
        <w:pStyle w:val="Heading2"/>
      </w:pPr>
      <w:r>
        <w:t xml:space="preserve">Interval Summary</w:t>
      </w:r>
    </w:p>
    <w:p>
      <w:pPr>
        <w:pStyle w:val="FirstParagraph"/>
      </w:pPr>
      <w:r>
        <w:t xml:space="preserve">Korvin continues to improve compared with presentation, but he remains a synthesis problem rather than a single-diagnosis case. The hospitalist team is now reconciling time-sensitive medication questions, consultant perspectives, functional concerns, and prednisone source discrepancies.</w:t>
      </w:r>
    </w:p>
    <w:p>
      <w:pPr>
        <w:pStyle w:val="BodyText"/>
      </w:pPr>
      <w:r>
        <w:t xml:space="preserve">Outpatient rheumatology provenance has become available in the chart by HD4. It clarifies intended PMR taper logic better than patient recollection or pharmacy fill history, but it does not prove what Korvin actually took during the three-week decline before admission.</w:t>
      </w:r>
    </w:p>
    <w:bookmarkEnd w:id="10"/>
    <w:bookmarkStart w:id="11" w:name="active-clinical-interpretation"/>
    <w:p>
      <w:pPr>
        <w:pStyle w:val="Heading2"/>
      </w:pPr>
      <w:r>
        <w:t xml:space="preserve">Active Clinical Interpretation</w:t>
      </w:r>
    </w:p>
    <w:p>
      <w:pPr>
        <w:pStyle w:val="FirstParagraph"/>
      </w:pPr>
      <w:r>
        <w:t xml:space="preserve">The early suspected urinary-source infection frame remains clinically reasonable. However, the current picture still includes:</w:t>
      </w:r>
    </w:p>
    <w:p>
      <w:pPr>
        <w:pStyle w:val="Compact"/>
        <w:numPr>
          <w:ilvl w:val="0"/>
          <w:numId w:val="1001"/>
        </w:numPr>
      </w:pPr>
      <w:r>
        <w:t xml:space="preserve">renal/hemodynamic vulnerability;</w:t>
      </w:r>
    </w:p>
    <w:p>
      <w:pPr>
        <w:pStyle w:val="Compact"/>
        <w:numPr>
          <w:ilvl w:val="0"/>
          <w:numId w:val="1001"/>
        </w:numPr>
      </w:pPr>
      <w:r>
        <w:t xml:space="preserve">HFrEF/CAD protective medication concerns;</w:t>
      </w:r>
    </w:p>
    <w:p>
      <w:pPr>
        <w:pStyle w:val="Compact"/>
        <w:numPr>
          <w:ilvl w:val="0"/>
          <w:numId w:val="1001"/>
        </w:numPr>
      </w:pPr>
      <w:r>
        <w:t xml:space="preserve">steroid exposure and taper uncertainty;</w:t>
      </w:r>
    </w:p>
    <w:p>
      <w:pPr>
        <w:pStyle w:val="Compact"/>
        <w:numPr>
          <w:ilvl w:val="0"/>
          <w:numId w:val="1001"/>
        </w:numPr>
      </w:pPr>
      <w:r>
        <w:t xml:space="preserve">diabetes and inpatient glycemic variability;</w:t>
      </w:r>
    </w:p>
    <w:p>
      <w:pPr>
        <w:pStyle w:val="Compact"/>
        <w:numPr>
          <w:ilvl w:val="0"/>
          <w:numId w:val="1001"/>
        </w:numPr>
      </w:pPr>
      <w:r>
        <w:t xml:space="preserve">deconditioning and diabetic neuropathy;</w:t>
      </w:r>
    </w:p>
    <w:p>
      <w:pPr>
        <w:pStyle w:val="Compact"/>
        <w:numPr>
          <w:ilvl w:val="0"/>
          <w:numId w:val="1001"/>
        </w:numPr>
      </w:pPr>
      <w:r>
        <w:t xml:space="preserve">functional and cognitive deviation from baseline.</w:t>
      </w:r>
    </w:p>
    <w:p>
      <w:pPr>
        <w:pStyle w:val="FirstParagraph"/>
      </w:pPr>
      <w:r>
        <w:t xml:space="preserve">The team explicitly avoids reducing the case to either</w:t>
      </w:r>
      <w:r>
        <w:t xml:space="preserve"> </w:t>
      </w:r>
      <w:r>
        <w:t xml:space="preserve">“infection only”</w:t>
      </w:r>
      <w:r>
        <w:t xml:space="preserve"> </w:t>
      </w:r>
      <w:r>
        <w:t xml:space="preserve">or</w:t>
      </w:r>
      <w:r>
        <w:t xml:space="preserve"> </w:t>
      </w:r>
      <w:r>
        <w:t xml:space="preserve">“steroid issue only.”</w:t>
      </w:r>
    </w:p>
    <w:bookmarkEnd w:id="11"/>
    <w:bookmarkStart w:id="12" w:name="prednisone-source-review"/>
    <w:p>
      <w:pPr>
        <w:pStyle w:val="Heading2"/>
      </w:pPr>
      <w:r>
        <w:t xml:space="preserve">Prednisone Source Review</w:t>
      </w:r>
    </w:p>
    <w:p>
      <w:pPr>
        <w:pStyle w:val="FirstParagraph"/>
      </w:pPr>
      <w:r>
        <w:t xml:space="preserve">Current source pattern:</w:t>
      </w:r>
    </w:p>
    <w:p>
      <w:pPr>
        <w:pStyle w:val="Compact"/>
        <w:numPr>
          <w:ilvl w:val="0"/>
          <w:numId w:val="1002"/>
        </w:numPr>
      </w:pPr>
      <w:r>
        <w:t xml:space="preserve">Rheumatology documentation provides highest-authority outpatient taper intent.</w:t>
      </w:r>
    </w:p>
    <w:p>
      <w:pPr>
        <w:pStyle w:val="Compact"/>
        <w:numPr>
          <w:ilvl w:val="0"/>
          <w:numId w:val="1002"/>
        </w:numPr>
      </w:pPr>
      <w:r>
        <w:t xml:space="preserve">Initial medication reconciliation documents uncertainty in patient/family report and medication bottle interpretation.</w:t>
      </w:r>
    </w:p>
    <w:p>
      <w:pPr>
        <w:pStyle w:val="Compact"/>
        <w:numPr>
          <w:ilvl w:val="0"/>
          <w:numId w:val="1002"/>
        </w:numPr>
      </w:pPr>
      <w:r>
        <w:t xml:space="preserve">Pharmacy history supports chronic and recent availability but not actual use.</w:t>
      </w:r>
    </w:p>
    <w:p>
      <w:pPr>
        <w:pStyle w:val="Compact"/>
        <w:numPr>
          <w:ilvl w:val="0"/>
          <w:numId w:val="1002"/>
        </w:numPr>
      </w:pPr>
      <w:r>
        <w:t xml:space="preserve">Family report suggests possible misunderstanding during the decline.</w:t>
      </w:r>
    </w:p>
    <w:p>
      <w:pPr>
        <w:pStyle w:val="Compact"/>
        <w:numPr>
          <w:ilvl w:val="0"/>
          <w:numId w:val="1002"/>
        </w:numPr>
      </w:pPr>
      <w:r>
        <w:t xml:space="preserve">Patient recollection remains inconsistent.</w:t>
      </w:r>
    </w:p>
    <w:p>
      <w:pPr>
        <w:pStyle w:val="FirstParagraph"/>
      </w:pPr>
      <w:r>
        <w:t xml:space="preserve">Working hospitalist interpretation: steroid history is clinically relevant and requires source hierarchy reconstruction. It does not by itself prove adrenal suppression, and it does not erase the reasonable infection frame.</w:t>
      </w:r>
    </w:p>
    <w:bookmarkEnd w:id="12"/>
    <w:bookmarkStart w:id="13" w:name="X13b458ec2453340d464c12f04fae7150d1c3adb"/>
    <w:p>
      <w:pPr>
        <w:pStyle w:val="Heading2"/>
      </w:pPr>
      <w:r>
        <w:t xml:space="preserve">Consultant Tension / Medication-Safety Context</w:t>
      </w:r>
    </w:p>
    <w:p>
      <w:pPr>
        <w:pStyle w:val="FirstParagraph"/>
      </w:pPr>
      <w:r>
        <w:t xml:space="preserve">Cardiorenal medication decisions are becoming more consequential as Korvin improves. The team recognizes two defensible pressures:</w:t>
      </w:r>
    </w:p>
    <w:p>
      <w:pPr>
        <w:pStyle w:val="Compact"/>
        <w:numPr>
          <w:ilvl w:val="0"/>
          <w:numId w:val="1003"/>
        </w:numPr>
      </w:pPr>
      <w:r>
        <w:t xml:space="preserve">Cardiology-oriented concern: chronic HFrEF/CAD protective therapy should not be withheld indefinitely if the patient is stabilizing.</w:t>
      </w:r>
    </w:p>
    <w:p>
      <w:pPr>
        <w:pStyle w:val="Compact"/>
        <w:numPr>
          <w:ilvl w:val="0"/>
          <w:numId w:val="1003"/>
        </w:numPr>
      </w:pPr>
      <w:r>
        <w:t xml:space="preserve">Nephrology-oriented concern: AKI-on-CKD recovery, hemodynamic reserve, potassium risk, poor intake, and discharge context make premature restart unsafe.</w:t>
      </w:r>
    </w:p>
    <w:p>
      <w:pPr>
        <w:pStyle w:val="FirstParagraph"/>
      </w:pPr>
      <w:r>
        <w:t xml:space="preserve">The hospitalist plan is to synthesize objective trends, actual inpatient medication actions, consultant timing, and discharge safety rather than allow any single note or early hold to decide the final plan.</w:t>
      </w:r>
    </w:p>
    <w:bookmarkEnd w:id="13"/>
    <w:bookmarkStart w:id="14" w:name="endocrine-steroid-risk-context"/>
    <w:p>
      <w:pPr>
        <w:pStyle w:val="Heading2"/>
      </w:pPr>
      <w:r>
        <w:t xml:space="preserve">Endocrine / Steroid-Risk Context</w:t>
      </w:r>
    </w:p>
    <w:p>
      <w:pPr>
        <w:pStyle w:val="FirstParagraph"/>
      </w:pPr>
      <w:r>
        <w:t xml:space="preserve">Endocrinology concern is now reasonable because weakness, hypotensive symptoms, chronic steroid exposure, and source inconsistency may affect risk interpretation. The primary team also has a defensible position: Korvin has improved with infection-oriented management and supportive care, so steroid physiology should not become the hidden single explanation.</w:t>
      </w:r>
    </w:p>
    <w:bookmarkEnd w:id="14"/>
    <w:bookmarkStart w:id="15" w:name="functional-disposition-context"/>
    <w:p>
      <w:pPr>
        <w:pStyle w:val="Heading2"/>
      </w:pPr>
      <w:r>
        <w:t xml:space="preserve">Functional / Disposition Context</w:t>
      </w:r>
    </w:p>
    <w:p>
      <w:pPr>
        <w:pStyle w:val="FirstParagraph"/>
      </w:pPr>
      <w:r>
        <w:t xml:space="preserve">Family continues to report that Korvin is not back to baseline. Therapy and nursing observations remain important because physician summaries may not capture the full practical safety picture. Discharge planning is not the dominant workflow yet, but the team anticipates it will become central if medical improvement continues.</w:t>
      </w:r>
    </w:p>
    <w:bookmarkEnd w:id="15"/>
    <w:bookmarkStart w:id="16" w:name="assessment"/>
    <w:p>
      <w:pPr>
        <w:pStyle w:val="Heading2"/>
      </w:pPr>
      <w:r>
        <w:t xml:space="preserve">Assessment</w:t>
      </w:r>
    </w:p>
    <w:p>
      <w:pPr>
        <w:pStyle w:val="FirstParagraph"/>
      </w:pPr>
      <w:r>
        <w:t xml:space="preserve">Korvin is improving, but his case remains medically and operationally complex. Consultant disagreement, steroid-source uncertainty, and functional recovery must be integrated before discharge decisions or medication restart decisions are treated as settled.</w:t>
      </w:r>
    </w:p>
    <w:bookmarkEnd w:id="16"/>
    <w:bookmarkStart w:id="17" w:name="guardrails"/>
    <w:p>
      <w:pPr>
        <w:pStyle w:val="Heading2"/>
      </w:pPr>
      <w:r>
        <w:t xml:space="preserve">Guardrails</w:t>
      </w:r>
    </w:p>
    <w:p>
      <w:pPr>
        <w:pStyle w:val="FirstParagraph"/>
      </w:pPr>
      <w:r>
        <w:t xml:space="preserve">This file intentionally uses FI-W06 only after its locked HD4 availability. It does not provide a final prednisone answer, final medication plan, final discharge decision, or complete consultant synthesis.</w:t>
      </w:r>
    </w:p>
    <w:bookmarkEnd w:id="17"/>
    <w:bookmarkEnd w:id="18"/>
    <w:sectPr>
      <w:pgSz w:h="15840" w:orient="portrait" w:w="12240"/>
      <w:pgMar w:bottom="1080" w:footer="708" w:header="708" w:left="1080" w:right="1080" w:top="108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lvl>
    <w:lvl w:ilvl="1">
      <w:start w:val="1"/>
      <w:numFmt w:val="bullet"/>
      <w:lvlText w:val="○"/>
      <w:lvlJc w:val="left"/>
      <w:pPr>
        <w:ind w:hanging="360" w:left="1440"/>
      </w:pPr>
      <w:rPr/>
    </w:lvl>
    <w:lvl w:ilvl="2">
      <w:start w:val="1"/>
      <w:numFmt w:val="bullet"/>
      <w:lvlText w:val="■"/>
      <w:lvlJc w:val="left"/>
      <w:pPr>
        <w:ind w:hanging="360" w:left="2160"/>
      </w:pPr>
      <w:rPr/>
    </w:lvl>
    <w:lvl w:ilvl="3">
      <w:start w:val="1"/>
      <w:numFmt w:val="bullet"/>
      <w:lvlText w:val="●"/>
      <w:lvlJc w:val="left"/>
      <w:pPr>
        <w:ind w:hanging="360" w:left="2880"/>
      </w:pPr>
      <w:rPr/>
    </w:lvl>
    <w:lvl w:ilvl="4">
      <w:start w:val="1"/>
      <w:numFmt w:val="bullet"/>
      <w:lvlText w:val="○"/>
      <w:lvlJc w:val="left"/>
      <w:pPr>
        <w:ind w:hanging="360" w:left="3600"/>
      </w:pPr>
      <w:rPr/>
    </w:lvl>
    <w:lvl w:ilvl="5">
      <w:start w:val="1"/>
      <w:numFmt w:val="bullet"/>
      <w:lvlText w:val="■"/>
      <w:lvlJc w:val="left"/>
      <w:pPr>
        <w:ind w:hanging="360" w:left="4320"/>
      </w:pPr>
      <w:rPr/>
    </w:lvl>
    <w:lvl w:ilvl="6">
      <w:start w:val="1"/>
      <w:numFmt w:val="bullet"/>
      <w:lvlText w:val="●"/>
      <w:lvlJc w:val="left"/>
      <w:pPr>
        <w:ind w:hanging="360" w:left="5040"/>
      </w:pPr>
      <w:rPr/>
    </w:lvl>
    <w:lvl w:ilvl="7">
      <w:start w:val="1"/>
      <w:numFmt w:val="bullet"/>
      <w:lvlText w:val="●"/>
      <w:lvlJc w:val="left"/>
      <w:pPr>
        <w:ind w:hanging="360" w:left="5760"/>
      </w:pPr>
      <w:rPr/>
    </w:lvl>
    <w:lvl w:ilvl="8">
      <w:start w:val="1"/>
      <w:numFmt w:val="bullet"/>
      <w:lvlText w:val="●"/>
      <w:lvlJc w:val="left"/>
      <w:pPr>
        <w:ind w:hanging="360" w:left="6480"/>
      </w:pPr>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rPr>
    </w:rPrDefault>
    <w:pPrDefault>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firstLine="0" w:left="0" w:right="0"/>
      <w:jc w:val="left"/>
    </w:pPr>
    <w:rPr>
      <w:rFonts w:ascii="Arial" w:cs="Arial" w:eastAsia="Arial" w:hAnsi="Arial"/>
      <w:b w:val="1"/>
      <w:bCs w:val="1"/>
      <w:i w:val="0"/>
      <w:iCs w:val="0"/>
      <w:smallCaps w:val="0"/>
      <w:strike w:val="0"/>
      <w:color w:val="4472c4"/>
      <w:sz w:val="32"/>
      <w:szCs w:val="32"/>
      <w:u w:val="none"/>
      <w:shd w:fill="auto" w:val="clear"/>
      <w:vertAlign w:val="baseline"/>
    </w:rPr>
  </w:style>
  <w:style w:styleId="Heading2" w:type="paragraph">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firstLine="0" w:left="0" w:right="0"/>
      <w:jc w:val="left"/>
    </w:pPr>
    <w:rPr>
      <w:rFonts w:ascii="Arial" w:cs="Arial" w:eastAsia="Arial" w:hAnsi="Arial"/>
      <w:b w:val="1"/>
      <w:bCs w:val="1"/>
      <w:i w:val="0"/>
      <w:iCs w:val="0"/>
      <w:smallCaps w:val="0"/>
      <w:strike w:val="0"/>
      <w:color w:val="4472c4"/>
      <w:sz w:val="28"/>
      <w:szCs w:val="28"/>
      <w:u w:val="none"/>
      <w:shd w:fill="auto" w:val="clear"/>
      <w:vertAlign w:val="baseline"/>
    </w:rPr>
  </w:style>
  <w:style w:styleId="Heading3" w:type="paragraph">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1f4d78"/>
      <w:sz w:val="24"/>
      <w:szCs w:val="24"/>
      <w:u w:val="none"/>
      <w:shd w:fill="auto" w:val="clear"/>
      <w:vertAlign w:val="baseline"/>
    </w:rPr>
  </w:style>
  <w:style w:styleId="Heading4" w:type="paragraph">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1"/>
      <w:iCs w:val="1"/>
      <w:smallCaps w:val="0"/>
      <w:strike w:val="0"/>
      <w:color w:val="2e74b5"/>
      <w:sz w:val="22"/>
      <w:szCs w:val="22"/>
      <w:u w:val="none"/>
      <w:shd w:fill="auto" w:val="clear"/>
      <w:vertAlign w:val="baseline"/>
    </w:rPr>
  </w:style>
  <w:style w:styleId="Heading5" w:type="paragraph">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2e74b5"/>
      <w:sz w:val="22"/>
      <w:szCs w:val="22"/>
      <w:u w:val="none"/>
      <w:shd w:fill="auto" w:val="clear"/>
      <w:vertAlign w:val="baseline"/>
    </w:rPr>
  </w:style>
  <w:style w:styleId="Heading6" w:type="paragraph">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1f4d78"/>
      <w:sz w:val="22"/>
      <w:szCs w:val="22"/>
      <w:u w:val="none"/>
      <w:shd w:fill="auto" w:val="clear"/>
      <w:vertAlign w:val="baseline"/>
    </w:rPr>
  </w:style>
  <w:style w:styleId="Title" w:type="paragraph">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Arial" w:cs="Arial" w:eastAsia="Arial" w:hAnsi="Arial"/>
      <w:b w:val="0"/>
      <w:bCs w:val="0"/>
      <w:i w:val="0"/>
      <w:iCs w:val="0"/>
      <w:smallCaps w:val="0"/>
      <w:strike w:val="0"/>
      <w:color w:val="000000"/>
      <w:sz w:val="56"/>
      <w:szCs w:val="56"/>
      <w:u w:val="none"/>
      <w:shd w:fill="auto" w:val="clear"/>
      <w:vertAlign w:val="baseline"/>
    </w:rPr>
  </w:style>
  <w:style w:styleId="Subtitle" w:type="paragraph">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styleId="Table1" w:type="table">
    <w:basedOn w:val="TableNormal"/>
    <w:tblPr>
      <w:tblStyleRowBandSize w:val="1"/>
      <w:tblStyleColBandSize w:val="1"/>
      <w:tblCellMar>
        <w:top w:type="dxa" w:w="0.0"/>
        <w:left w:type="dxa" w:w="115.0"/>
        <w:bottom w:type="dxa" w:w="0.0"/>
        <w:right w:type="dxa" w:w="115.0"/>
      </w:tblCellMar>
    </w:tblPr>
  </w:style>
  <w:style w:styleId="Table2" w:type="table">
    <w:basedOn w:val="TableNormal"/>
    <w:tblPr>
      <w:tblStyleRowBandSize w:val="1"/>
      <w:tblStyleColBandSize w:val="1"/>
      <w:tblCellMar>
        <w:top w:type="dxa" w:w="0.0"/>
        <w:left w:type="dxa" w:w="115.0"/>
        <w:bottom w:type="dxa" w:w="0.0"/>
        <w:right w:type="dxa" w:w="115.0"/>
      </w:tblCellMar>
    </w:tblPr>
  </w:style>
  <w:style w:styleId="Table3" w:type="table">
    <w:basedOn w:val="TableNormal"/>
    <w:tblPr>
      <w:tblStyleRowBandSize w:val="1"/>
      <w:tblStyleColBandSize w:val="1"/>
      <w:tblCellMar>
        <w:top w:type="dxa" w:w="0.0"/>
        <w:left w:type="dxa" w:w="115.0"/>
        <w:bottom w:type="dxa" w:w="0.0"/>
        <w:right w:type="dxa" w:w="115.0"/>
      </w:tblCellMar>
    </w:tblPr>
  </w:style>
  <w:style w:styleId="Table4" w:type="table">
    <w:basedOn w:val="TableNormal"/>
    <w:tblPr>
      <w:tblStyleRowBandSize w:val="1"/>
      <w:tblStyleColBandSize w:val="1"/>
      <w:tblCellMar>
        <w:top w:type="dxa" w:w="0.0"/>
        <w:left w:type="dxa" w:w="115.0"/>
        <w:bottom w:type="dxa" w:w="0.0"/>
        <w:right w:type="dxa" w:w="115.0"/>
      </w:tblCellMar>
    </w:tblPr>
  </w:style>
  <w:style w:styleId="Table5" w:type="table">
    <w:basedOn w:val="TableNormal"/>
    <w:tblPr>
      <w:tblStyleRowBandSize w:val="1"/>
      <w:tblStyleColBandSize w:val="1"/>
      <w:tblCellMar>
        <w:top w:type="dxa" w:w="0.0"/>
        <w:left w:type="dxa" w:w="115.0"/>
        <w:bottom w:type="dxa" w:w="0.0"/>
        <w:right w:type="dxa" w:w="115.0"/>
      </w:tblCellMar>
    </w:tblPr>
  </w:style>
  <w:style w:styleId="Table6" w:type="table">
    <w:basedOn w:val="TableNormal"/>
    <w:tblPr>
      <w:tblStyleRowBandSize w:val="1"/>
      <w:tblStyleColBandSize w:val="1"/>
      <w:tblCellMar>
        <w:top w:type="dxa" w:w="0.0"/>
        <w:left w:type="dxa" w:w="115.0"/>
        <w:bottom w:type="dxa" w:w="0.0"/>
        <w:right w:type="dxa" w:w="115.0"/>
      </w:tblCellMar>
    </w:tblPr>
  </w:style>
  <w:style w:styleId="Table7" w:type="table">
    <w:basedOn w:val="TableNormal"/>
    <w:tblPr>
      <w:tblStyleRowBandSize w:val="1"/>
      <w:tblStyleColBandSize w:val="1"/>
      <w:tblCellMar>
        <w:top w:type="dxa" w:w="0.0"/>
        <w:left w:type="dxa" w:w="115.0"/>
        <w:bottom w:type="dxa" w:w="0.0"/>
        <w:right w:type="dxa" w:w="115.0"/>
      </w:tblCellMar>
    </w:tblPr>
  </w:style>
  <w:style w:styleId="Table8" w:type="table">
    <w:basedOn w:val="TableNormal"/>
    <w:tblPr>
      <w:tblStyleRowBandSize w:val="1"/>
      <w:tblStyleColBandSize w:val="1"/>
      <w:tblCellMar>
        <w:top w:type="dxa" w:w="0.0"/>
        <w:left w:type="dxa" w:w="115.0"/>
        <w:bottom w:type="dxa" w:w="0.0"/>
        <w:right w:type="dxa" w:w="115.0"/>
      </w:tblCellMar>
    </w:tblPr>
  </w:style>
  <w:style w:styleId="Table9" w:type="table">
    <w:basedOn w:val="TableNormal"/>
    <w:tblPr>
      <w:tblStyleRowBandSize w:val="1"/>
      <w:tblStyleColBandSize w:val="1"/>
      <w:tblCellMar>
        <w:top w:type="dxa" w:w="0.0"/>
        <w:left w:type="dxa" w:w="115.0"/>
        <w:bottom w:type="dxa" w:w="0.0"/>
        <w:right w:type="dxa" w:w="115.0"/>
      </w:tblCellMar>
    </w:tblPr>
  </w:style>
  <w:style w:styleId="Table10" w:type="table">
    <w:basedOn w:val="TableNormal"/>
    <w:tblPr>
      <w:tblStyleRowBandSize w:val="1"/>
      <w:tblStyleColBandSize w:val="1"/>
      <w:tblCellMar>
        <w:top w:type="dxa" w:w="0.0"/>
        <w:left w:type="dxa" w:w="115.0"/>
        <w:bottom w:type="dxa" w:w="0.0"/>
        <w:right w:type="dxa" w:w="115.0"/>
      </w:tblCellMar>
    </w:tblPr>
  </w:style>
  <w:style w:styleId="Table11" w:type="table">
    <w:basedOn w:val="TableNormal"/>
    <w:tblPr>
      <w:tblStyleRowBandSize w:val="1"/>
      <w:tblStyleColBandSize w:val="1"/>
      <w:tblCellMar>
        <w:top w:type="dxa" w:w="0.0"/>
        <w:left w:type="dxa" w:w="115.0"/>
        <w:bottom w:type="dxa" w:w="0.0"/>
        <w:right w:type="dxa" w:w="115.0"/>
      </w:tblCellMar>
    </w:tblPr>
  </w:style>
  <w:style w:styleId="Table12" w:type="table">
    <w:basedOn w:val="TableNormal"/>
    <w:tblPr>
      <w:tblStyleRowBandSize w:val="1"/>
      <w:tblStyleColBandSize w:val="1"/>
      <w:tblCellMar>
        <w:top w:type="dxa" w:w="0.0"/>
        <w:left w:type="dxa" w:w="115.0"/>
        <w:bottom w:type="dxa" w:w="0.0"/>
        <w:right w:type="dxa" w:w="115.0"/>
      </w:tblCellMar>
    </w:tblPr>
  </w:style>
  <w:style w:styleId="Table13" w:type="table">
    <w:basedOn w:val="TableNormal"/>
    <w:tblPr>
      <w:tblStyleRowBandSize w:val="1"/>
      <w:tblStyleColBandSize w:val="1"/>
      <w:tblCellMar>
        <w:top w:type="dxa" w:w="0.0"/>
        <w:left w:type="dxa" w:w="115.0"/>
        <w:bottom w:type="dxa" w:w="0.0"/>
        <w:right w:type="dxa" w:w="115.0"/>
      </w:tblCellMar>
    </w:tblPr>
  </w:style>
  <w:style w:styleId="Table14" w:type="table">
    <w:basedOn w:val="TableNormal"/>
    <w:tblPr>
      <w:tblStyleRowBandSize w:val="1"/>
      <w:tblStyleColBandSize w:val="1"/>
      <w:tblCellMar>
        <w:top w:type="dxa" w:w="0.0"/>
        <w:left w:type="dxa" w:w="115.0"/>
        <w:bottom w:type="dxa" w:w="0.0"/>
        <w:right w:type="dxa" w:w="115.0"/>
      </w:tblCellMar>
    </w:tblPr>
  </w:style>
  <w:style w:styleId="Table15" w:type="table">
    <w:basedOn w:val="TableNormal"/>
    <w:tblPr>
      <w:tblStyleRowBandSize w:val="1"/>
      <w:tblStyleColBandSize w:val="1"/>
      <w:tblCellMar>
        <w:top w:type="dxa" w:w="0.0"/>
        <w:left w:type="dxa" w:w="115.0"/>
        <w:bottom w:type="dxa" w:w="0.0"/>
        <w:right w:type="dxa" w:w="115.0"/>
      </w:tblCellMar>
    </w:tblPr>
  </w:style>
  <w:style w:styleId="Table16" w:type="table">
    <w:basedOn w:val="TableNormal"/>
    <w:tblPr>
      <w:tblStyleRowBandSize w:val="1"/>
      <w:tblStyleColBandSize w:val="1"/>
      <w:tblCellMar>
        <w:top w:type="dxa" w:w="0.0"/>
        <w:left w:type="dxa" w:w="115.0"/>
        <w:bottom w:type="dxa" w:w="0.0"/>
        <w:right w:type="dxa" w:w="115.0"/>
      </w:tblCellMar>
    </w:tblPr>
  </w:style>
  <w:style w:styleId="Table17" w:type="table">
    <w:basedOn w:val="TableNormal"/>
    <w:tblPr>
      <w:tblStyleRowBandSize w:val="1"/>
      <w:tblStyleColBandSize w:val="1"/>
      <w:tblCellMar>
        <w:top w:type="dxa" w:w="0.0"/>
        <w:left w:type="dxa" w:w="115.0"/>
        <w:bottom w:type="dxa" w:w="0.0"/>
        <w:right w:type="dxa" w:w="115.0"/>
      </w:tblCellMar>
    </w:tblPr>
  </w:style>
  <w:style w:styleId="Table18" w:type="table">
    <w:basedOn w:val="TableNormal"/>
    <w:tblPr>
      <w:tblStyleRowBandSize w:val="1"/>
      <w:tblStyleColBandSize w:val="1"/>
      <w:tblCellMar>
        <w:top w:type="dxa" w:w="0.0"/>
        <w:left w:type="dxa" w:w="115.0"/>
        <w:bottom w:type="dxa" w:w="0.0"/>
        <w:right w:type="dxa" w:w="115.0"/>
      </w:tblCellMar>
    </w:tblPr>
  </w:style>
  <w:style w:styleId="Table19" w:type="table">
    <w:basedOn w:val="TableNormal"/>
    <w:tblPr>
      <w:tblStyleRowBandSize w:val="1"/>
      <w:tblStyleColBandSize w:val="1"/>
      <w:tblCellMar>
        <w:top w:type="dxa" w:w="0.0"/>
        <w:left w:type="dxa" w:w="115.0"/>
        <w:bottom w:type="dxa" w:w="0.0"/>
        <w:right w:type="dxa" w:w="115.0"/>
      </w:tblCellMar>
    </w:tblPr>
  </w:style>
  <w:style w:styleId="Table20" w:type="table">
    <w:basedOn w:val="TableNormal"/>
    <w:tblPr>
      <w:tblStyleRowBandSize w:val="1"/>
      <w:tblStyleColBandSize w:val="1"/>
      <w:tblCellMar>
        <w:top w:type="dxa" w:w="0.0"/>
        <w:left w:type="dxa" w:w="115.0"/>
        <w:bottom w:type="dxa" w:w="0.0"/>
        <w:right w:type="dxa" w:w="115.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2026-06-04T06:11:18Z</dcterms:created>
  <dcterms:modified xsi:type="dcterms:W3CDTF">2026-06-04T06:11:18Z</dcterms:modified>
</cp:coreProperties>
</file>

<file path=docProps/custom.xml><?xml version="1.0" encoding="utf-8"?>
<Properties xmlns="http://schemas.openxmlformats.org/officeDocument/2006/custom-properties" xmlns:vt="http://schemas.openxmlformats.org/officeDocument/2006/docPropsVTypes"/>
</file>