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4a192aee1780c823f43e863c27ebf1361f50e7"/>
    <w:p>
      <w:pPr>
        <w:pStyle w:val="Heading1"/>
      </w:pPr>
      <w:r>
        <w:t xml:space="preserve">FI-W12 - Objective Renal / Infection / Hemodynamic Trend Summary Source</w:t>
      </w:r>
    </w:p>
    <w:p>
      <w:pPr>
        <w:pStyle w:val="FirstParagraph"/>
      </w:pPr>
      <w:r>
        <w:t xml:space="preserve">File ID: FI-W12</w:t>
      </w:r>
    </w:p>
    <w:p>
      <w:pPr>
        <w:pStyle w:val="BodyText"/>
      </w:pPr>
      <w:r>
        <w:t xml:space="preserve">File Type: Objective renal / infection / hemodynamic trend summary source</w:t>
      </w:r>
    </w:p>
    <w:p>
      <w:pPr>
        <w:pStyle w:val="BodyText"/>
      </w:pPr>
      <w:r>
        <w:t xml:space="preserve">Level: World-Level</w:t>
      </w:r>
    </w:p>
    <w:p>
      <w:pPr>
        <w:pStyle w:val="BodyText"/>
      </w:pPr>
      <w:r>
        <w:t xml:space="preserve">Approximate Date / Anchor: HD1-HD6 through 05/23/2026 18:00</w:t>
      </w:r>
    </w:p>
    <w:p>
      <w:pPr>
        <w:pStyle w:val="BodyText"/>
      </w:pPr>
      <w:r>
        <w:t xml:space="preserve">Author / Source: Laboratory and vital-sign data source</w:t>
      </w:r>
    </w:p>
    <w:p>
      <w:pPr>
        <w:pStyle w:val="BodyText"/>
      </w:pPr>
      <w:r>
        <w:t xml:space="preserve">Tool / Origin: Writer-created synthetic data source</w:t>
      </w:r>
    </w:p>
    <w:p>
      <w:pPr>
        <w:pStyle w:val="BodyText"/>
      </w:pPr>
      <w:r>
        <w:t xml:space="preserve">Purpose: Provide trend evidence for improvement versus persistence without becoming an answer file.</w:t>
      </w:r>
    </w:p>
    <w:p>
      <w:pPr>
        <w:pStyle w:val="BodyText"/>
      </w:pPr>
      <w:r>
        <w:t xml:space="preserve">Supported Workflow(s) / Trap(s) / Friction(s): All four workflows; Traps #2, #4, #5; Cardiology vs Nephrology; Family vs Primary Team</w:t>
      </w:r>
    </w:p>
    <w:p>
      <w:pPr>
        <w:pStyle w:val="BodyText"/>
      </w:pPr>
      <w:r>
        <w:t xml:space="preserve">World Boundary: contains only objective information available through 05/23/2026 at 18:00. It contains no discharge outcome, post-discharge follow-up, task framing, expected output, golden response, or grader guidance.</w:t>
      </w:r>
    </w:p>
    <w:bookmarkStart w:id="9" w:name="objective-trend-summary"/>
    <w:p>
      <w:pPr>
        <w:pStyle w:val="Heading2"/>
      </w:pPr>
      <w:r>
        <w:t xml:space="preserve">Objective Trend Summary</w:t>
      </w:r>
    </w:p>
    <w:p>
      <w:pPr>
        <w:pStyle w:val="FirstParagraph"/>
      </w:pPr>
      <w:r>
        <w:t xml:space="preserve">Patient: Korvin Merrow</w:t>
      </w:r>
    </w:p>
    <w:p>
      <w:pPr>
        <w:pStyle w:val="BodyText"/>
      </w:pPr>
      <w:r>
        <w:t xml:space="preserve">Source: laboratory and vital-sign data source compiled during hospitalization.</w:t>
      </w:r>
    </w:p>
    <w:p>
      <w:pPr>
        <w:pStyle w:val="BodyText"/>
      </w:pPr>
      <w:r>
        <w:t xml:space="preserve">This source is not a physician interpretation note, discharge summary, final medication plan, or disposition decision. It supports trend reasoning only.</w:t>
      </w:r>
    </w:p>
    <w:bookmarkEnd w:id="9"/>
    <w:bookmarkStart w:id="10" w:name="baseline-comparator-reminder"/>
    <w:p>
      <w:pPr>
        <w:pStyle w:val="Heading2"/>
      </w:pPr>
      <w:r>
        <w:t xml:space="preserve">Baseline Comparator Reminder</w:t>
      </w:r>
    </w:p>
    <w:p>
      <w:pPr>
        <w:pStyle w:val="FirstParagraph"/>
      </w:pPr>
      <w:r>
        <w:t xml:space="preserve">Outpatient baseline comparator anchors from primary care documentation:</w:t>
      </w:r>
    </w:p>
    <w:p>
      <w:pPr>
        <w:pStyle w:val="Compact"/>
        <w:numPr>
          <w:ilvl w:val="0"/>
          <w:numId w:val="1001"/>
        </w:numPr>
      </w:pPr>
      <w:r>
        <w:t xml:space="preserve">Usual creatinine: approximately 1.6-1.8 mg/dL.</w:t>
      </w:r>
    </w:p>
    <w:p>
      <w:pPr>
        <w:pStyle w:val="Compact"/>
        <w:numPr>
          <w:ilvl w:val="0"/>
          <w:numId w:val="1001"/>
        </w:numPr>
      </w:pPr>
      <w:r>
        <w:t xml:space="preserve">Usual eGFR: approximately 40-50 mL/min/1.73 m2.</w:t>
      </w:r>
    </w:p>
    <w:p>
      <w:pPr>
        <w:pStyle w:val="Compact"/>
        <w:numPr>
          <w:ilvl w:val="0"/>
          <w:numId w:val="1001"/>
        </w:numPr>
      </w:pPr>
      <w:r>
        <w:t xml:space="preserve">Chronic hemoglobin: approximately 10.5-11.5 g/dL.</w:t>
      </w:r>
    </w:p>
    <w:p>
      <w:pPr>
        <w:pStyle w:val="Compact"/>
        <w:numPr>
          <w:ilvl w:val="0"/>
          <w:numId w:val="1001"/>
        </w:numPr>
      </w:pPr>
      <w:r>
        <w:t xml:space="preserve">Dry weight: approximately 97 kg.</w:t>
      </w:r>
    </w:p>
    <w:p>
      <w:pPr>
        <w:pStyle w:val="FirstParagraph"/>
      </w:pPr>
      <w:r>
        <w:t xml:space="preserve">These are baseline anchors, not admission values and not discharge values.</w:t>
      </w:r>
    </w:p>
    <w:bookmarkEnd w:id="10"/>
    <w:bookmarkStart w:id="11" w:name="inpatient-trend-table"/>
    <w:p>
      <w:pPr>
        <w:pStyle w:val="Heading2"/>
      </w:pPr>
      <w:r>
        <w:t xml:space="preserve">Inpatient Trend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 / HD</w:t>
            </w:r>
          </w:p>
        </w:tc>
        <w:tc>
          <w:tcPr/>
          <w:p>
            <w:pPr>
              <w:pStyle w:val="Compact"/>
            </w:pPr>
            <w:r>
              <w:t xml:space="preserve">Clinical anchor</w:t>
            </w:r>
          </w:p>
        </w:tc>
        <w:tc>
          <w:tcPr/>
          <w:p>
            <w:pPr>
              <w:pStyle w:val="Compact"/>
            </w:pPr>
            <w:r>
              <w:t xml:space="preserve">Temperature pattern</w:t>
            </w:r>
          </w:p>
        </w:tc>
        <w:tc>
          <w:tcPr/>
          <w:p>
            <w:pPr>
              <w:pStyle w:val="Compact"/>
            </w:pPr>
            <w:r>
              <w:t xml:space="preserve">Blood pressure / hemodynamic pattern</w:t>
            </w:r>
          </w:p>
        </w:tc>
        <w:tc>
          <w:tcPr/>
          <w:p>
            <w:pPr>
              <w:pStyle w:val="Compact"/>
            </w:pPr>
            <w:r>
              <w:t xml:space="preserve">Creatinine</w:t>
            </w:r>
          </w:p>
        </w:tc>
        <w:tc>
          <w:tcPr/>
          <w:p>
            <w:pPr>
              <w:pStyle w:val="Compact"/>
            </w:pPr>
            <w:r>
              <w:t xml:space="preserve">BUN</w:t>
            </w:r>
          </w:p>
        </w:tc>
        <w:tc>
          <w:tcPr/>
          <w:p>
            <w:pPr>
              <w:pStyle w:val="Compact"/>
            </w:pPr>
            <w:r>
              <w:t xml:space="preserve">Potassium</w:t>
            </w:r>
          </w:p>
        </w:tc>
        <w:tc>
          <w:tcPr/>
          <w:p>
            <w:pPr>
              <w:pStyle w:val="Compact"/>
            </w:pPr>
            <w:r>
              <w:t xml:space="preserve">WBC</w:t>
            </w:r>
          </w:p>
        </w:tc>
        <w:tc>
          <w:tcPr/>
          <w:p>
            <w:pPr>
              <w:pStyle w:val="Compact"/>
            </w:pPr>
            <w:r>
              <w:t xml:space="preserve">Glucose pattern</w:t>
            </w:r>
          </w:p>
        </w:tc>
        <w:tc>
          <w:tcPr/>
          <w:p>
            <w:pPr>
              <w:pStyle w:val="Compact"/>
            </w:pPr>
            <w:r>
              <w:t xml:space="preserve">Intake / volume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05/18 / HD1</w:t>
            </w:r>
          </w:p>
        </w:tc>
        <w:tc>
          <w:tcPr/>
          <w:p>
            <w:pPr>
              <w:pStyle w:val="Compact"/>
            </w:pPr>
            <w:r>
              <w:t xml:space="preserve">Admission / acute stabilization</w:t>
            </w:r>
          </w:p>
        </w:tc>
        <w:tc>
          <w:tcPr/>
          <w:p>
            <w:pPr>
              <w:pStyle w:val="Compact"/>
            </w:pPr>
            <w:r>
              <w:t xml:space="preserve">Febrile earlier in course, improving after treatment started</w:t>
            </w:r>
          </w:p>
        </w:tc>
        <w:tc>
          <w:tcPr/>
          <w:p>
            <w:pPr>
              <w:pStyle w:val="Compact"/>
            </w:pPr>
            <w:r>
              <w:t xml:space="preserve">Borderline low-normal pressures with lightheadedness history</w:t>
            </w:r>
          </w:p>
        </w:tc>
        <w:tc>
          <w:tcPr/>
          <w:p>
            <w:pPr>
              <w:pStyle w:val="Compact"/>
            </w:pPr>
            <w:r>
              <w:t xml:space="preserve">2.62 mg/dL</w:t>
            </w:r>
          </w:p>
        </w:tc>
        <w:tc>
          <w:tcPr/>
          <w:p>
            <w:pPr>
              <w:pStyle w:val="Compact"/>
            </w:pPr>
            <w:r>
              <w:t xml:space="preserve">48 mg/dL</w:t>
            </w:r>
          </w:p>
        </w:tc>
        <w:tc>
          <w:tcPr/>
          <w:p>
            <w:pPr>
              <w:pStyle w:val="Compact"/>
            </w:pPr>
            <w:r>
              <w:t xml:space="preserve">5.1 mmol/L</w:t>
            </w:r>
          </w:p>
        </w:tc>
        <w:tc>
          <w:tcPr/>
          <w:p>
            <w:pPr>
              <w:pStyle w:val="Compact"/>
            </w:pPr>
            <w:r>
              <w:t xml:space="preserve">15.6 K/uL</w:t>
            </w:r>
          </w:p>
        </w:tc>
        <w:tc>
          <w:tcPr/>
          <w:p>
            <w:pPr>
              <w:pStyle w:val="Compact"/>
            </w:pPr>
            <w:r>
              <w:t xml:space="preserve">180-260 mg/dL range</w:t>
            </w:r>
          </w:p>
        </w:tc>
        <w:tc>
          <w:tcPr/>
          <w:p>
            <w:pPr>
              <w:pStyle w:val="Compact"/>
            </w:pPr>
            <w:r>
              <w:t xml:space="preserve">Poor intake, clinically volume vulnerable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05/19 / HD2</w:t>
            </w:r>
          </w:p>
        </w:tc>
        <w:tc>
          <w:tcPr/>
          <w:p>
            <w:pPr>
              <w:pStyle w:val="Compact"/>
            </w:pPr>
            <w:r>
              <w:t xml:space="preserve">Early response</w:t>
            </w:r>
          </w:p>
        </w:tc>
        <w:tc>
          <w:tcPr/>
          <w:p>
            <w:pPr>
              <w:pStyle w:val="Compact"/>
            </w:pPr>
            <w:r>
              <w:t xml:space="preserve">Lower fever burden</w:t>
            </w:r>
          </w:p>
        </w:tc>
        <w:tc>
          <w:tcPr/>
          <w:p>
            <w:pPr>
              <w:pStyle w:val="Compact"/>
            </w:pPr>
            <w:r>
              <w:t xml:space="preserve">Still low-normal, improved from presentation but not robust</w:t>
            </w:r>
          </w:p>
        </w:tc>
        <w:tc>
          <w:tcPr/>
          <w:p>
            <w:pPr>
              <w:pStyle w:val="Compact"/>
            </w:pPr>
            <w:r>
              <w:t xml:space="preserve">2.38 mg/dL</w:t>
            </w:r>
          </w:p>
        </w:tc>
        <w:tc>
          <w:tcPr/>
          <w:p>
            <w:pPr>
              <w:pStyle w:val="Compact"/>
            </w:pPr>
            <w:r>
              <w:t xml:space="preserve">45 mg/dL</w:t>
            </w:r>
          </w:p>
        </w:tc>
        <w:tc>
          <w:tcPr/>
          <w:p>
            <w:pPr>
              <w:pStyle w:val="Compact"/>
            </w:pPr>
            <w:r>
              <w:t xml:space="preserve">4.9 mmol/L</w:t>
            </w:r>
          </w:p>
        </w:tc>
        <w:tc>
          <w:tcPr/>
          <w:p>
            <w:pPr>
              <w:pStyle w:val="Compact"/>
            </w:pPr>
            <w:r>
              <w:t xml:space="preserve">13.8 K/uL</w:t>
            </w:r>
          </w:p>
        </w:tc>
        <w:tc>
          <w:tcPr/>
          <w:p>
            <w:pPr>
              <w:pStyle w:val="Compact"/>
            </w:pPr>
            <w:r>
              <w:t xml:space="preserve">170-250 mg/dL range</w:t>
            </w:r>
          </w:p>
        </w:tc>
        <w:tc>
          <w:tcPr/>
          <w:p>
            <w:pPr>
              <w:pStyle w:val="Compact"/>
            </w:pPr>
            <w:r>
              <w:t xml:space="preserve">Oral intake slightly 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05/20 / HD3</w:t>
            </w:r>
          </w:p>
        </w:tc>
        <w:tc>
          <w:tcPr/>
          <w:p>
            <w:pPr>
              <w:pStyle w:val="Compact"/>
            </w:pPr>
            <w:r>
              <w:t xml:space="preserve">Functional concerns emerge</w:t>
            </w:r>
          </w:p>
        </w:tc>
        <w:tc>
          <w:tcPr/>
          <w:p>
            <w:pPr>
              <w:pStyle w:val="Compact"/>
            </w:pPr>
            <w:r>
              <w:t xml:space="preserve">Afebrile or near-afebrile trend</w:t>
            </w:r>
          </w:p>
        </w:tc>
        <w:tc>
          <w:tcPr/>
          <w:p>
            <w:pPr>
              <w:pStyle w:val="Compact"/>
            </w:pPr>
            <w:r>
              <w:t xml:space="preserve">Less symptomatic but not clearly at baseline reserve</w:t>
            </w:r>
          </w:p>
        </w:tc>
        <w:tc>
          <w:tcPr/>
          <w:p>
            <w:pPr>
              <w:pStyle w:val="Compact"/>
            </w:pPr>
            <w:r>
              <w:t xml:space="preserve">2.12 mg/dL</w:t>
            </w:r>
          </w:p>
        </w:tc>
        <w:tc>
          <w:tcPr/>
          <w:p>
            <w:pPr>
              <w:pStyle w:val="Compact"/>
            </w:pPr>
            <w:r>
              <w:t xml:space="preserve">39 mg/dL</w:t>
            </w:r>
          </w:p>
        </w:tc>
        <w:tc>
          <w:tcPr/>
          <w:p>
            <w:pPr>
              <w:pStyle w:val="Compact"/>
            </w:pPr>
            <w:r>
              <w:t xml:space="preserve">4.7 mmol/L</w:t>
            </w:r>
          </w:p>
        </w:tc>
        <w:tc>
          <w:tcPr/>
          <w:p>
            <w:pPr>
              <w:pStyle w:val="Compact"/>
            </w:pPr>
            <w:r>
              <w:t xml:space="preserve">11.9 K/uL</w:t>
            </w:r>
          </w:p>
        </w:tc>
        <w:tc>
          <w:tcPr/>
          <w:p>
            <w:pPr>
              <w:pStyle w:val="Compact"/>
            </w:pPr>
            <w:r>
              <w:t xml:space="preserve">160-240 mg/dL range</w:t>
            </w:r>
          </w:p>
        </w:tc>
        <w:tc>
          <w:tcPr/>
          <w:p>
            <w:pPr>
              <w:pStyle w:val="Compact"/>
            </w:pPr>
            <w:r>
              <w:t xml:space="preserve">Intake improving; fatigue persists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05/21 / HD4</w:t>
            </w:r>
          </w:p>
        </w:tc>
        <w:tc>
          <w:tcPr/>
          <w:p>
            <w:pPr>
              <w:pStyle w:val="Compact"/>
            </w:pPr>
            <w:r>
              <w:t xml:space="preserve">Consultant tension / source reconstruction</w:t>
            </w:r>
          </w:p>
        </w:tc>
        <w:tc>
          <w:tcPr/>
          <w:p>
            <w:pPr>
              <w:pStyle w:val="Compact"/>
            </w:pPr>
            <w:r>
              <w:t xml:space="preserve">Afebrile trend</w:t>
            </w:r>
          </w:p>
        </w:tc>
        <w:tc>
          <w:tcPr/>
          <w:p>
            <w:pPr>
              <w:pStyle w:val="Compact"/>
            </w:pPr>
            <w:r>
              <w:t xml:space="preserve">More stable but still vulnerable to medication effects</w:t>
            </w:r>
          </w:p>
        </w:tc>
        <w:tc>
          <w:tcPr/>
          <w:p>
            <w:pPr>
              <w:pStyle w:val="Compact"/>
            </w:pPr>
            <w:r>
              <w:t xml:space="preserve">1.98 mg/dL</w:t>
            </w:r>
          </w:p>
        </w:tc>
        <w:tc>
          <w:tcPr/>
          <w:p>
            <w:pPr>
              <w:pStyle w:val="Compact"/>
            </w:pPr>
            <w:r>
              <w:t xml:space="preserve">35 mg/dL</w:t>
            </w:r>
          </w:p>
        </w:tc>
        <w:tc>
          <w:tcPr/>
          <w:p>
            <w:pPr>
              <w:pStyle w:val="Compact"/>
            </w:pPr>
            <w:r>
              <w:t xml:space="preserve">4.6 mmol/L</w:t>
            </w:r>
          </w:p>
        </w:tc>
        <w:tc>
          <w:tcPr/>
          <w:p>
            <w:pPr>
              <w:pStyle w:val="Compact"/>
            </w:pPr>
            <w:r>
              <w:t xml:space="preserve">10.8 K/uL</w:t>
            </w:r>
          </w:p>
        </w:tc>
        <w:tc>
          <w:tcPr/>
          <w:p>
            <w:pPr>
              <w:pStyle w:val="Compact"/>
            </w:pPr>
            <w:r>
              <w:t xml:space="preserve">160-270 mg/dL range</w:t>
            </w:r>
          </w:p>
        </w:tc>
        <w:tc>
          <w:tcPr/>
          <w:p>
            <w:pPr>
              <w:pStyle w:val="Compact"/>
            </w:pPr>
            <w:r>
              <w:t xml:space="preserve">Intake inconsistent across shifts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05/22 / HD5</w:t>
            </w:r>
          </w:p>
        </w:tc>
        <w:tc>
          <w:tcPr/>
          <w:p>
            <w:pPr>
              <w:pStyle w:val="Compact"/>
            </w:pPr>
            <w:r>
              <w:t xml:space="preserve">Discharge planning becomes plausible</w:t>
            </w:r>
          </w:p>
        </w:tc>
        <w:tc>
          <w:tcPr/>
          <w:p>
            <w:pPr>
              <w:pStyle w:val="Compact"/>
            </w:pPr>
            <w:r>
              <w:t xml:space="preserve">Afebrile</w:t>
            </w:r>
          </w:p>
        </w:tc>
        <w:tc>
          <w:tcPr/>
          <w:p>
            <w:pPr>
              <w:pStyle w:val="Compact"/>
            </w:pPr>
            <w:r>
              <w:t xml:space="preserve">Stable enough for reassessment, not enough to ignore renal/HF context</w:t>
            </w:r>
          </w:p>
        </w:tc>
        <w:tc>
          <w:tcPr/>
          <w:p>
            <w:pPr>
              <w:pStyle w:val="Compact"/>
            </w:pPr>
            <w:r>
              <w:t xml:space="preserve">1.86 mg/dL</w:t>
            </w:r>
          </w:p>
        </w:tc>
        <w:tc>
          <w:tcPr/>
          <w:p>
            <w:pPr>
              <w:pStyle w:val="Compact"/>
            </w:pPr>
            <w:r>
              <w:t xml:space="preserve">31 mg/dL</w:t>
            </w:r>
          </w:p>
        </w:tc>
        <w:tc>
          <w:tcPr/>
          <w:p>
            <w:pPr>
              <w:pStyle w:val="Compact"/>
            </w:pPr>
            <w:r>
              <w:t xml:space="preserve">4.5 mmol/L</w:t>
            </w:r>
          </w:p>
        </w:tc>
        <w:tc>
          <w:tcPr/>
          <w:p>
            <w:pPr>
              <w:pStyle w:val="Compact"/>
            </w:pPr>
            <w:r>
              <w:t xml:space="preserve">9.9 K/uL</w:t>
            </w:r>
          </w:p>
        </w:tc>
        <w:tc>
          <w:tcPr/>
          <w:p>
            <w:pPr>
              <w:pStyle w:val="Compact"/>
            </w:pPr>
            <w:r>
              <w:t xml:space="preserve">150-260 mg/dL range</w:t>
            </w:r>
          </w:p>
        </w:tc>
        <w:tc>
          <w:tcPr/>
          <w:p>
            <w:pPr>
              <w:pStyle w:val="Compact"/>
            </w:pPr>
            <w:r>
              <w:t xml:space="preserve">Improved intake, still below usual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05/23 / HD6 before 18:00</w:t>
            </w:r>
          </w:p>
        </w:tc>
        <w:tc>
          <w:tcPr/>
          <w:p>
            <w:pPr>
              <w:pStyle w:val="Compact"/>
            </w:pPr>
            <w:r>
              <w:t xml:space="preserve">World-close day / discharge planning</w:t>
            </w:r>
          </w:p>
        </w:tc>
        <w:tc>
          <w:tcPr/>
          <w:p>
            <w:pPr>
              <w:pStyle w:val="Compact"/>
            </w:pPr>
            <w:r>
              <w:t xml:space="preserve">Afebrile</w:t>
            </w:r>
          </w:p>
        </w:tc>
        <w:tc>
          <w:tcPr/>
          <w:p>
            <w:pPr>
              <w:pStyle w:val="Compact"/>
            </w:pPr>
            <w:r>
              <w:t xml:space="preserve">Stable on floor checks; orthostatic reserve not fully captured by this table</w:t>
            </w:r>
          </w:p>
        </w:tc>
        <w:tc>
          <w:tcPr/>
          <w:p>
            <w:pPr>
              <w:pStyle w:val="Compact"/>
            </w:pPr>
            <w:r>
              <w:t xml:space="preserve">1.80 mg/dL</w:t>
            </w:r>
          </w:p>
        </w:tc>
        <w:tc>
          <w:tcPr/>
          <w:p>
            <w:pPr>
              <w:pStyle w:val="Compact"/>
            </w:pPr>
            <w:r>
              <w:t xml:space="preserve">29 mg/dL</w:t>
            </w:r>
          </w:p>
        </w:tc>
        <w:tc>
          <w:tcPr/>
          <w:p>
            <w:pPr>
              <w:pStyle w:val="Compact"/>
            </w:pPr>
            <w:r>
              <w:t xml:space="preserve">4.4 mmol/L</w:t>
            </w:r>
          </w:p>
        </w:tc>
        <w:tc>
          <w:tcPr/>
          <w:p>
            <w:pPr>
              <w:pStyle w:val="Compact"/>
            </w:pPr>
            <w:r>
              <w:t xml:space="preserve">9.4 K/uL</w:t>
            </w:r>
          </w:p>
        </w:tc>
        <w:tc>
          <w:tcPr/>
          <w:p>
            <w:pPr>
              <w:pStyle w:val="Compact"/>
            </w:pPr>
            <w:r>
              <w:t xml:space="preserve">140-250 mg/dL range</w:t>
            </w:r>
          </w:p>
        </w:tc>
        <w:tc>
          <w:tcPr/>
          <w:p>
            <w:pPr>
              <w:pStyle w:val="Compact"/>
            </w:pPr>
            <w:r>
              <w:t xml:space="preserve">Intake improved; mobility reserve requires separate sources</w:t>
            </w:r>
          </w:p>
        </w:tc>
      </w:tr>
    </w:tbl>
    <w:bookmarkEnd w:id="11"/>
    <w:bookmarkStart w:id="12" w:name="urinary-infection-data-context"/>
    <w:p>
      <w:pPr>
        <w:pStyle w:val="Heading2"/>
      </w:pPr>
      <w:r>
        <w:t xml:space="preserve">Urinary / Infection Data Context</w:t>
      </w:r>
    </w:p>
    <w:p>
      <w:pPr>
        <w:pStyle w:val="FirstParagraph"/>
      </w:pPr>
      <w:r>
        <w:t xml:space="preserve">Available infection-related data support suspected urinary-source infection as a reasonable admission frame, but they do not make infection the only contributor to the hospitalization.</w:t>
      </w:r>
    </w:p>
    <w:p>
      <w:pPr>
        <w:pStyle w:val="BodyText"/>
      </w:pPr>
      <w:r>
        <w:t xml:space="preserve">Summary:</w:t>
      </w:r>
    </w:p>
    <w:p>
      <w:pPr>
        <w:pStyle w:val="Compact"/>
        <w:numPr>
          <w:ilvl w:val="0"/>
          <w:numId w:val="1002"/>
        </w:numPr>
      </w:pPr>
      <w:r>
        <w:t xml:space="preserve">Initial urinary findings were concerning enough to support empiric treatment.</w:t>
      </w:r>
    </w:p>
    <w:p>
      <w:pPr>
        <w:pStyle w:val="Compact"/>
        <w:numPr>
          <w:ilvl w:val="0"/>
          <w:numId w:val="1002"/>
        </w:numPr>
      </w:pPr>
      <w:r>
        <w:t xml:space="preserve">Systemic markers improved over the stay.</w:t>
      </w:r>
    </w:p>
    <w:p>
      <w:pPr>
        <w:pStyle w:val="Compact"/>
        <w:numPr>
          <w:ilvl w:val="0"/>
          <w:numId w:val="1002"/>
        </w:numPr>
      </w:pPr>
      <w:r>
        <w:t xml:space="preserve">Culture/source interpretation is not summarized here as a definitive single-cause answer.</w:t>
      </w:r>
    </w:p>
    <w:p>
      <w:pPr>
        <w:pStyle w:val="Compact"/>
        <w:numPr>
          <w:ilvl w:val="0"/>
          <w:numId w:val="1002"/>
        </w:numPr>
      </w:pPr>
      <w:r>
        <w:t xml:space="preserve">Trend improvement does not resolve functional decline, steroid uncertainty, medication restart timing, or disposition safety.</w:t>
      </w:r>
    </w:p>
    <w:bookmarkEnd w:id="12"/>
    <w:bookmarkStart w:id="13" w:name="renal-hemodynamic-context"/>
    <w:p>
      <w:pPr>
        <w:pStyle w:val="Heading2"/>
      </w:pPr>
      <w:r>
        <w:t xml:space="preserve">Renal / Hemodynamic Context</w:t>
      </w:r>
    </w:p>
    <w:p>
      <w:pPr>
        <w:pStyle w:val="FirstParagraph"/>
      </w:pPr>
      <w:r>
        <w:t xml:space="preserve">Renal function improves toward outpatient baseline but does not erase acute illness risk. The trend supports reassessment of held medications; it does not prove full restart safety for all chronic medications.</w:t>
      </w:r>
    </w:p>
    <w:p>
      <w:pPr>
        <w:pStyle w:val="BodyText"/>
      </w:pPr>
      <w:r>
        <w:t xml:space="preserve">Important limitations:</w:t>
      </w:r>
    </w:p>
    <w:p>
      <w:pPr>
        <w:pStyle w:val="Compact"/>
        <w:numPr>
          <w:ilvl w:val="0"/>
          <w:numId w:val="1003"/>
        </w:numPr>
      </w:pPr>
      <w:r>
        <w:t xml:space="preserve">A creatinine near baseline does not by itself determine readiness for HFrEF medication restart.</w:t>
      </w:r>
    </w:p>
    <w:p>
      <w:pPr>
        <w:pStyle w:val="Compact"/>
        <w:numPr>
          <w:ilvl w:val="0"/>
          <w:numId w:val="1003"/>
        </w:numPr>
      </w:pPr>
      <w:r>
        <w:t xml:space="preserve">Potassium and blood pressure trends must be reconciled with actual medication actions and consultant timing.</w:t>
      </w:r>
    </w:p>
    <w:p>
      <w:pPr>
        <w:pStyle w:val="Compact"/>
        <w:numPr>
          <w:ilvl w:val="0"/>
          <w:numId w:val="1003"/>
        </w:numPr>
      </w:pPr>
      <w:r>
        <w:t xml:space="preserve">Dry weight is a baseline comparator, not a complete inpatient volume assessment.</w:t>
      </w:r>
    </w:p>
    <w:bookmarkEnd w:id="13"/>
    <w:bookmarkStart w:id="14" w:name="functional-disposition-context"/>
    <w:p>
      <w:pPr>
        <w:pStyle w:val="Heading2"/>
      </w:pPr>
      <w:r>
        <w:t xml:space="preserve">Functional / Disposition Context</w:t>
      </w:r>
    </w:p>
    <w:p>
      <w:pPr>
        <w:pStyle w:val="FirstParagraph"/>
      </w:pPr>
      <w:r>
        <w:t xml:space="preserve">This table captures objective trends but does not capture all functional and cognitive evidence. Nursing, therapy, family, and care-coordination sources remain necessary for disposition-readiness reasoning.</w:t>
      </w:r>
    </w:p>
    <w:bookmarkEnd w:id="14"/>
    <w:bookmarkStart w:id="15" w:name="guardrails"/>
    <w:p>
      <w:pPr>
        <w:pStyle w:val="Heading2"/>
      </w:pPr>
      <w:r>
        <w:t xml:space="preserve">Guardrails</w:t>
      </w:r>
    </w:p>
    <w:p>
      <w:pPr>
        <w:pStyle w:val="FirstParagraph"/>
      </w:pPr>
      <w:r>
        <w:t xml:space="preserve">FI-W12 is a trend source. It is not an answer file. It does not decide the final infection source, final medication plan, steroid contribution, or discharge readiness.</w:t>
      </w:r>
    </w:p>
    <w:bookmarkEnd w:id="15"/>
    <w:bookmarkEnd w:id="16"/>
    <w:sectPr>
      <w:pgSz w:h="15840" w:orient="portrait" w:w="12240"/>
      <w:pgMar w:bottom="1080" w:footer="708" w:header="708" w:left="1080" w:right="1080" w:top="108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/>
    </w:lvl>
    <w:lvl w:ilvl="1">
      <w:start w:val="1"/>
      <w:numFmt w:val="bullet"/>
      <w:lvlText w:val="○"/>
      <w:lvlJc w:val="left"/>
      <w:pPr>
        <w:ind w:hanging="360" w:left="1440"/>
      </w:pPr>
      <w:rPr/>
    </w:lvl>
    <w:lvl w:ilvl="2">
      <w:start w:val="1"/>
      <w:numFmt w:val="bullet"/>
      <w:lvlText w:val="■"/>
      <w:lvlJc w:val="left"/>
      <w:pPr>
        <w:ind w:hanging="360" w:left="2160"/>
      </w:pPr>
      <w:rPr/>
    </w:lvl>
    <w:lvl w:ilvl="3">
      <w:start w:val="1"/>
      <w:numFmt w:val="bullet"/>
      <w:lvlText w:val="●"/>
      <w:lvlJc w:val="left"/>
      <w:pPr>
        <w:ind w:hanging="360" w:left="2880"/>
      </w:pPr>
      <w:rPr/>
    </w:lvl>
    <w:lvl w:ilvl="4">
      <w:start w:val="1"/>
      <w:numFmt w:val="bullet"/>
      <w:lvlText w:val="○"/>
      <w:lvlJc w:val="left"/>
      <w:pPr>
        <w:ind w:hanging="360" w:left="3600"/>
      </w:pPr>
      <w:rPr/>
    </w:lvl>
    <w:lvl w:ilvl="5">
      <w:start w:val="1"/>
      <w:numFmt w:val="bullet"/>
      <w:lvlText w:val="■"/>
      <w:lvlJc w:val="left"/>
      <w:pPr>
        <w:ind w:hanging="360" w:left="4320"/>
      </w:pPr>
      <w:rPr/>
    </w:lvl>
    <w:lvl w:ilvl="6">
      <w:start w:val="1"/>
      <w:numFmt w:val="bullet"/>
      <w:lvlText w:val="●"/>
      <w:lvlJc w:val="left"/>
      <w:pPr>
        <w:ind w:hanging="360" w:left="5040"/>
      </w:pPr>
      <w:rPr/>
    </w:lvl>
    <w:lvl w:ilvl="7">
      <w:start w:val="1"/>
      <w:numFmt w:val="bullet"/>
      <w:lvlText w:val="●"/>
      <w:lvlJc w:val="left"/>
      <w:pPr>
        <w:ind w:hanging="360" w:left="5760"/>
      </w:pPr>
      <w:rPr/>
    </w:lvl>
    <w:lvl w:ilvl="8">
      <w:start w:val="1"/>
      <w:numFmt w:val="bullet"/>
      <w:lvlText w:val="●"/>
      <w:lvlJc w:val="left"/>
      <w:pPr>
        <w:ind w:hanging="360" w:left="6480"/>
      </w:pPr>
      <w:rPr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32"/>
      <w:szCs w:val="32"/>
      <w:u w:val="none"/>
      <w:shd w:fill="auto" w:val="clear"/>
      <w:vertAlign w:val="baseline"/>
    </w:rPr>
  </w:style>
  <w:style w:styleId="Heading2" w:type="paragraph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8"/>
      <w:szCs w:val="28"/>
      <w:u w:val="none"/>
      <w:shd w:fill="auto" w:val="clear"/>
      <w:vertAlign w:val="baseline"/>
    </w:rPr>
  </w:style>
  <w:style w:styleId="Heading3" w:type="paragraph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styleId="Heading4" w:type="paragraph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5" w:type="paragraph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6" w:type="paragraph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styleId="Title" w:type="paragraph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2026-06-04T06:11:18Z</dcterms:created>
  <dcterms:modified xsi:type="dcterms:W3CDTF">2026-06-04T06:11:18Z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