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7d025da5447e4af6ca454d5bad534732f6e5721"/>
    <w:p>
      <w:pPr>
        <w:pStyle w:val="Heading1"/>
      </w:pPr>
      <w:r>
        <w:t xml:space="preserve">FI-W13 - Medication Administration / Inpatient Medication Action Source</w:t>
      </w:r>
    </w:p>
    <w:p>
      <w:pPr>
        <w:pStyle w:val="FirstParagraph"/>
      </w:pPr>
      <w:r>
        <w:t xml:space="preserve">File ID: FI-W13</w:t>
      </w:r>
    </w:p>
    <w:p>
      <w:pPr>
        <w:pStyle w:val="BodyText"/>
      </w:pPr>
      <w:r>
        <w:t xml:space="preserve">File Type: Medication administration / inpatient medication action source</w:t>
      </w:r>
    </w:p>
    <w:p>
      <w:pPr>
        <w:pStyle w:val="BodyText"/>
      </w:pPr>
      <w:r>
        <w:t xml:space="preserve">Level: World-Level</w:t>
      </w:r>
    </w:p>
    <w:p>
      <w:pPr>
        <w:pStyle w:val="BodyText"/>
      </w:pPr>
      <w:r>
        <w:t xml:space="preserve">Approximate Date / Anchor: HD1-HD6 through 05/23/2026 18:00</w:t>
      </w:r>
    </w:p>
    <w:p>
      <w:pPr>
        <w:pStyle w:val="BodyText"/>
      </w:pPr>
      <w:r>
        <w:t xml:space="preserve">Author / Source: MAR / inpatient medication source</w:t>
      </w:r>
    </w:p>
    <w:p>
      <w:pPr>
        <w:pStyle w:val="BodyText"/>
      </w:pPr>
      <w:r>
        <w:t xml:space="preserve">Tool / Origin: Writer-created synthetic data source</w:t>
      </w:r>
    </w:p>
    <w:p>
      <w:pPr>
        <w:pStyle w:val="BodyText"/>
      </w:pPr>
      <w:r>
        <w:t xml:space="preserve">Purpose: Show medication holds, continuations, inpatient-only actions, and reassessment opportunities without creating a discharge medication list.</w:t>
      </w:r>
    </w:p>
    <w:p>
      <w:pPr>
        <w:pStyle w:val="BodyText"/>
      </w:pPr>
      <w:r>
        <w:t xml:space="preserve">Supported Workflow(s) / Trap(s) / Friction(s): Discharge Medication Reconciliation; Interdisciplinary Care Plan Development and Documentation; Traps #1, #2; Cardiology vs Nephrology; Endocrinology vs Primary Team</w:t>
      </w:r>
    </w:p>
    <w:p>
      <w:pPr>
        <w:pStyle w:val="BodyText"/>
      </w:pPr>
      <w:r>
        <w:t xml:space="preserve">World Boundary: contains only medication action information available through 05/23/2026 at 18:00. It contains no completed discharge medication list, post-discharge medication plan, task framing, expected output, golden response, or grader guidance.</w:t>
      </w:r>
    </w:p>
    <w:bookmarkStart w:id="9" w:name="medication-administration-action-summary"/>
    <w:p>
      <w:pPr>
        <w:pStyle w:val="Heading2"/>
      </w:pPr>
      <w:r>
        <w:t xml:space="preserve">Medication Administration / Action Summary</w:t>
      </w:r>
    </w:p>
    <w:p>
      <w:pPr>
        <w:pStyle w:val="FirstParagraph"/>
      </w:pPr>
      <w:r>
        <w:t xml:space="preserve">Patient: Korvin Merrow</w:t>
      </w:r>
    </w:p>
    <w:p>
      <w:pPr>
        <w:pStyle w:val="BodyText"/>
      </w:pPr>
      <w:r>
        <w:t xml:space="preserve">Source: MAR / inpatient medication action source.</w:t>
      </w:r>
    </w:p>
    <w:p>
      <w:pPr>
        <w:pStyle w:val="BodyText"/>
      </w:pPr>
      <w:r>
        <w:t xml:space="preserve">This source records inpatient actions. It does not prove outpatient adherence, final discharge appropriateness, or correct restart timing by itself.</w:t>
      </w:r>
    </w:p>
    <w:bookmarkEnd w:id="9"/>
    <w:bookmarkStart w:id="10" w:name="source-caveats"/>
    <w:p>
      <w:pPr>
        <w:pStyle w:val="Heading2"/>
      </w:pPr>
      <w:r>
        <w:t xml:space="preserve">Source Caveats</w:t>
      </w:r>
    </w:p>
    <w:p>
      <w:pPr>
        <w:pStyle w:val="Compact"/>
        <w:numPr>
          <w:ilvl w:val="0"/>
          <w:numId w:val="1001"/>
        </w:numPr>
      </w:pPr>
      <w:r>
        <w:t xml:space="preserve">MAR data show what was administered, held, or reassessed in the hospital.</w:t>
      </w:r>
    </w:p>
    <w:p>
      <w:pPr>
        <w:pStyle w:val="Compact"/>
        <w:numPr>
          <w:ilvl w:val="0"/>
          <w:numId w:val="1001"/>
        </w:numPr>
      </w:pPr>
      <w:r>
        <w:t xml:space="preserve">MAR data do not determine what Korvin actually took at home before admission.</w:t>
      </w:r>
    </w:p>
    <w:p>
      <w:pPr>
        <w:pStyle w:val="Compact"/>
        <w:numPr>
          <w:ilvl w:val="0"/>
          <w:numId w:val="1001"/>
        </w:numPr>
      </w:pPr>
      <w:r>
        <w:t xml:space="preserve">MAR data do not replace verified medication reconciliation, pharmacy history, rheumatology provenance, consultant documentation, or discharge planning.</w:t>
      </w:r>
    </w:p>
    <w:p>
      <w:pPr>
        <w:pStyle w:val="Compact"/>
        <w:numPr>
          <w:ilvl w:val="0"/>
          <w:numId w:val="1001"/>
        </w:numPr>
      </w:pPr>
      <w:r>
        <w:t xml:space="preserve">Inpatient-only medication actions are not baseline outpatient medications unless separately established.</w:t>
      </w:r>
    </w:p>
    <w:bookmarkEnd w:id="10"/>
    <w:bookmarkStart w:id="11" w:name="Xc87f90cabe04d93e29e7f72fd6ff064ec6859af"/>
    <w:p>
      <w:pPr>
        <w:pStyle w:val="Heading2"/>
      </w:pPr>
      <w:r>
        <w:t xml:space="preserve">Chronic Medication Action Categories Through HD6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Medication / category</w:t>
            </w:r>
          </w:p>
        </w:tc>
        <w:tc>
          <w:tcPr/>
          <w:p>
            <w:pPr>
              <w:pStyle w:val="Compact"/>
            </w:pPr>
            <w:r>
              <w:t xml:space="preserve">Baseline role</w:t>
            </w:r>
          </w:p>
        </w:tc>
        <w:tc>
          <w:tcPr/>
          <w:p>
            <w:pPr>
              <w:pStyle w:val="Compact"/>
            </w:pPr>
            <w:r>
              <w:t xml:space="preserve">Inpatient action pattern through 05/23/2026 18:00</w:t>
            </w:r>
          </w:p>
        </w:tc>
        <w:tc>
          <w:tcPr/>
          <w:p>
            <w:pPr>
              <w:pStyle w:val="Compact"/>
            </w:pPr>
            <w:r>
              <w:t xml:space="preserve">Reasoning implication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Sacubitril/valsartan</w:t>
            </w:r>
          </w:p>
        </w:tc>
        <w:tc>
          <w:tcPr/>
          <w:p>
            <w:pPr>
              <w:pStyle w:val="Compact"/>
            </w:pPr>
            <w:r>
              <w:t xml:space="preserve">HFrEF guideline-directed therapy</w:t>
            </w:r>
          </w:p>
        </w:tc>
        <w:tc>
          <w:tcPr/>
          <w:p>
            <w:pPr>
              <w:pStyle w:val="Compact"/>
            </w:pPr>
            <w:r>
              <w:t xml:space="preserve">Held early during AKI/hemodynamic vulnerability; reassessment discussed as renal/hemodynamic trend improved</w:t>
            </w:r>
          </w:p>
        </w:tc>
        <w:tc>
          <w:tcPr/>
          <w:p>
            <w:pPr>
              <w:pStyle w:val="Compact"/>
            </w:pPr>
            <w:r>
              <w:t xml:space="preserve">Central to Cardiology vs Nephrology; early hold is not a final discharge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Carvedilol</w:t>
            </w:r>
          </w:p>
        </w:tc>
        <w:tc>
          <w:tcPr/>
          <w:p>
            <w:pPr>
              <w:pStyle w:val="Compact"/>
            </w:pPr>
            <w:r>
              <w:t xml:space="preserve">HFrEF/CAD therapy</w:t>
            </w:r>
          </w:p>
        </w:tc>
        <w:tc>
          <w:tcPr/>
          <w:p>
            <w:pPr>
              <w:pStyle w:val="Compact"/>
            </w:pPr>
            <w:r>
              <w:t xml:space="preserve">Temporarily held or cautiously administered depending on hemodynamic status; not a simple uninterrupted home continuation</w:t>
            </w:r>
          </w:p>
        </w:tc>
        <w:tc>
          <w:tcPr/>
          <w:p>
            <w:pPr>
              <w:pStyle w:val="Compact"/>
            </w:pPr>
            <w:r>
              <w:t xml:space="preserve">Supports timing-sensitive restart reasoning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Furosemide</w:t>
            </w:r>
          </w:p>
        </w:tc>
        <w:tc>
          <w:tcPr/>
          <w:p>
            <w:pPr>
              <w:pStyle w:val="Compact"/>
            </w:pPr>
            <w:r>
              <w:t xml:space="preserve">HFrEF volume management</w:t>
            </w:r>
          </w:p>
        </w:tc>
        <w:tc>
          <w:tcPr/>
          <w:p>
            <w:pPr>
              <w:pStyle w:val="Compact"/>
            </w:pPr>
            <w:r>
              <w:t xml:space="preserve">Held early with poor intake/volume concern; later reassessment depends on volume and renal interpretation</w:t>
            </w:r>
          </w:p>
        </w:tc>
        <w:tc>
          <w:tcPr/>
          <w:p>
            <w:pPr>
              <w:pStyle w:val="Compact"/>
            </w:pPr>
            <w:r>
              <w:t xml:space="preserve">Supports dehydration versus congestion reasoning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Spironolactone</w:t>
            </w:r>
          </w:p>
        </w:tc>
        <w:tc>
          <w:tcPr/>
          <w:p>
            <w:pPr>
              <w:pStyle w:val="Compact"/>
            </w:pPr>
            <w:r>
              <w:t xml:space="preserve">HFrEF therapy with CKD/electrolyte relevance</w:t>
            </w:r>
          </w:p>
        </w:tc>
        <w:tc>
          <w:tcPr/>
          <w:p>
            <w:pPr>
              <w:pStyle w:val="Compact"/>
            </w:pPr>
            <w:r>
              <w:t xml:space="preserve">Held during AKI/hyperkalemia-risk period; later reassessment not finalized by MAR alone</w:t>
            </w:r>
          </w:p>
        </w:tc>
        <w:tc>
          <w:tcPr/>
          <w:p>
            <w:pPr>
              <w:pStyle w:val="Compact"/>
            </w:pPr>
            <w:r>
              <w:t xml:space="preserve">Supports renal/potassium safety concerns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Empagliflozin</w:t>
            </w:r>
          </w:p>
        </w:tc>
        <w:tc>
          <w:tcPr/>
          <w:p>
            <w:pPr>
              <w:pStyle w:val="Compact"/>
            </w:pPr>
            <w:r>
              <w:t xml:space="preserve">HFrEF/diabetes/CKD therapy</w:t>
            </w:r>
          </w:p>
        </w:tc>
        <w:tc>
          <w:tcPr/>
          <w:p>
            <w:pPr>
              <w:pStyle w:val="Compact"/>
            </w:pPr>
            <w:r>
              <w:t xml:space="preserve">Held during acute illness and poor intake</w:t>
            </w:r>
          </w:p>
        </w:tc>
        <w:tc>
          <w:tcPr/>
          <w:p>
            <w:pPr>
              <w:pStyle w:val="Compact"/>
            </w:pPr>
            <w:r>
              <w:t xml:space="preserve">Supports acute-illness hold/restart complexity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Metformin ER</w:t>
            </w:r>
          </w:p>
        </w:tc>
        <w:tc>
          <w:tcPr/>
          <w:p>
            <w:pPr>
              <w:pStyle w:val="Compact"/>
            </w:pPr>
            <w:r>
              <w:t xml:space="preserve">Type 2 diabetes therapy</w:t>
            </w:r>
          </w:p>
        </w:tc>
        <w:tc>
          <w:tcPr/>
          <w:p>
            <w:pPr>
              <w:pStyle w:val="Compact"/>
            </w:pPr>
            <w:r>
              <w:t xml:space="preserve">Held during AKI/acute illness</w:t>
            </w:r>
          </w:p>
        </w:tc>
        <w:tc>
          <w:tcPr/>
          <w:p>
            <w:pPr>
              <w:pStyle w:val="Compact"/>
            </w:pPr>
            <w:r>
              <w:t xml:space="preserve">Supports renal and intake-aware medication reconciliation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Insulin glargine</w:t>
            </w:r>
          </w:p>
        </w:tc>
        <w:tc>
          <w:tcPr/>
          <w:p>
            <w:pPr>
              <w:pStyle w:val="Compact"/>
            </w:pPr>
            <w:r>
              <w:t xml:space="preserve">Basal diabetes therapy</w:t>
            </w:r>
          </w:p>
        </w:tc>
        <w:tc>
          <w:tcPr/>
          <w:p>
            <w:pPr>
              <w:pStyle w:val="Compact"/>
            </w:pPr>
            <w:r>
              <w:t xml:space="preserve">Continued with inpatient adjustment/monitoring rather than copied exactly from home routine</w:t>
            </w:r>
          </w:p>
        </w:tc>
        <w:tc>
          <w:tcPr/>
          <w:p>
            <w:pPr>
              <w:pStyle w:val="Compact"/>
            </w:pPr>
            <w:r>
              <w:t xml:space="preserve">Supports diabetes management complexity and discharge safety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Insulin lispro</w:t>
            </w:r>
          </w:p>
        </w:tc>
        <w:tc>
          <w:tcPr/>
          <w:p>
            <w:pPr>
              <w:pStyle w:val="Compact"/>
            </w:pPr>
            <w:r>
              <w:t xml:space="preserve">Inpatient-only glycemic-management action</w:t>
            </w:r>
          </w:p>
        </w:tc>
        <w:tc>
          <w:tcPr/>
          <w:p>
            <w:pPr>
              <w:pStyle w:val="Compact"/>
            </w:pPr>
            <w:r>
              <w:t xml:space="preserve">Used only as inpatient correctional coverage when needed; not a baseline outpatient medication</w:t>
            </w:r>
          </w:p>
        </w:tc>
        <w:tc>
          <w:tcPr/>
          <w:p>
            <w:pPr>
              <w:pStyle w:val="Compact"/>
            </w:pPr>
            <w:r>
              <w:t xml:space="preserve">Preserves inpatient-only logic and avoids baseline medication-count drift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Aspirin</w:t>
            </w:r>
          </w:p>
        </w:tc>
        <w:tc>
          <w:tcPr/>
          <w:p>
            <w:pPr>
              <w:pStyle w:val="Compact"/>
            </w:pPr>
            <w:r>
              <w:t xml:space="preserve">CAD secondary prevention</w:t>
            </w:r>
          </w:p>
        </w:tc>
        <w:tc>
          <w:tcPr/>
          <w:p>
            <w:pPr>
              <w:pStyle w:val="Compact"/>
            </w:pPr>
            <w:r>
              <w:t xml:space="preserve">Continued unless contraindication emerged</w:t>
            </w:r>
          </w:p>
        </w:tc>
        <w:tc>
          <w:tcPr/>
          <w:p>
            <w:pPr>
              <w:pStyle w:val="Compact"/>
            </w:pPr>
            <w:r>
              <w:t xml:space="preserve">Chronic protective therapy should not be lost casually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Atorvastatin</w:t>
            </w:r>
          </w:p>
        </w:tc>
        <w:tc>
          <w:tcPr/>
          <w:p>
            <w:pPr>
              <w:pStyle w:val="Compact"/>
            </w:pPr>
            <w:r>
              <w:t xml:space="preserve">CAD/hyperlipidemia therapy</w:t>
            </w:r>
          </w:p>
        </w:tc>
        <w:tc>
          <w:tcPr/>
          <w:p>
            <w:pPr>
              <w:pStyle w:val="Compact"/>
            </w:pPr>
            <w:r>
              <w:t xml:space="preserve">Continued</w:t>
            </w:r>
          </w:p>
        </w:tc>
        <w:tc>
          <w:tcPr/>
          <w:p>
            <w:pPr>
              <w:pStyle w:val="Compact"/>
            </w:pPr>
            <w:r>
              <w:t xml:space="preserve">Chronic protective therapy continuity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Nitroglycerin rescue medication</w:t>
            </w:r>
          </w:p>
        </w:tc>
        <w:tc>
          <w:tcPr/>
          <w:p>
            <w:pPr>
              <w:pStyle w:val="Compact"/>
            </w:pPr>
            <w:r>
              <w:t xml:space="preserve">CAD/angina safety medication</w:t>
            </w:r>
          </w:p>
        </w:tc>
        <w:tc>
          <w:tcPr/>
          <w:p>
            <w:pPr>
              <w:pStyle w:val="Compact"/>
            </w:pPr>
            <w:r>
              <w:t xml:space="preserve">Available as rescue medication if clinically indicated; not used as routine daily therapy</w:t>
            </w:r>
          </w:p>
        </w:tc>
        <w:tc>
          <w:tcPr/>
          <w:p>
            <w:pPr>
              <w:pStyle w:val="Compact"/>
            </w:pPr>
            <w:r>
              <w:t xml:space="preserve">Rescue medications require reconciliation but do not drive acute course alone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Prednisone</w:t>
            </w:r>
          </w:p>
        </w:tc>
        <w:tc>
          <w:tcPr/>
          <w:p>
            <w:pPr>
              <w:pStyle w:val="Compact"/>
            </w:pPr>
            <w:r>
              <w:t xml:space="preserve">PMR/steroid exposure with uncertain taper</w:t>
            </w:r>
          </w:p>
        </w:tc>
        <w:tc>
          <w:tcPr/>
          <w:p>
            <w:pPr>
              <w:pStyle w:val="Compact"/>
            </w:pPr>
            <w:r>
              <w:t xml:space="preserve">Administered under interim inpatient plan while source reconstruction continued; home taper truth remains unresolved by MAR alone</w:t>
            </w:r>
          </w:p>
        </w:tc>
        <w:tc>
          <w:tcPr/>
          <w:p>
            <w:pPr>
              <w:pStyle w:val="Compact"/>
            </w:pPr>
            <w:r>
              <w:t xml:space="preserve">Supports Trap #1 without proving actual pre-admission adherence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Gabapentin</w:t>
            </w:r>
          </w:p>
        </w:tc>
        <w:tc>
          <w:tcPr/>
          <w:p>
            <w:pPr>
              <w:pStyle w:val="Compact"/>
            </w:pPr>
            <w:r>
              <w:t xml:space="preserve">Neuropathy symptom control</w:t>
            </w:r>
          </w:p>
        </w:tc>
        <w:tc>
          <w:tcPr/>
          <w:p>
            <w:pPr>
              <w:pStyle w:val="Compact"/>
            </w:pPr>
            <w:r>
              <w:t xml:space="preserve">Reassessed during altered mentation/weakness; may be held or reduced depending on sedation/fall-risk concern</w:t>
            </w:r>
          </w:p>
        </w:tc>
        <w:tc>
          <w:tcPr/>
          <w:p>
            <w:pPr>
              <w:pStyle w:val="Compact"/>
            </w:pPr>
            <w:r>
              <w:t xml:space="preserve">Supports functional/cognitive safety reasoning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Pantoprazole</w:t>
            </w:r>
          </w:p>
        </w:tc>
        <w:tc>
          <w:tcPr/>
          <w:p>
            <w:pPr>
              <w:pStyle w:val="Compact"/>
            </w:pPr>
            <w:r>
              <w:t xml:space="preserve">GERD/GI protection</w:t>
            </w:r>
          </w:p>
        </w:tc>
        <w:tc>
          <w:tcPr/>
          <w:p>
            <w:pPr>
              <w:pStyle w:val="Compact"/>
            </w:pPr>
            <w:r>
              <w:t xml:space="preserve">Continued</w:t>
            </w:r>
          </w:p>
        </w:tc>
        <w:tc>
          <w:tcPr/>
          <w:p>
            <w:pPr>
              <w:pStyle w:val="Compact"/>
            </w:pPr>
            <w:r>
              <w:t xml:space="preserve">Supportive medication burden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Ferrous sulfate</w:t>
            </w:r>
          </w:p>
        </w:tc>
        <w:tc>
          <w:tcPr/>
          <w:p>
            <w:pPr>
              <w:pStyle w:val="Compact"/>
            </w:pPr>
            <w:r>
              <w:t xml:space="preserve">Anemia support</w:t>
            </w:r>
          </w:p>
        </w:tc>
        <w:tc>
          <w:tcPr/>
          <w:p>
            <w:pPr>
              <w:pStyle w:val="Compact"/>
            </w:pPr>
            <w:r>
              <w:t xml:space="preserve">Continued or temporarily deferred around acute intake/tolerance</w:t>
            </w:r>
          </w:p>
        </w:tc>
        <w:tc>
          <w:tcPr/>
          <w:p>
            <w:pPr>
              <w:pStyle w:val="Compact"/>
            </w:pPr>
            <w:r>
              <w:t xml:space="preserve">Adds bowel regimen and medication-burden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Alendronate</w:t>
            </w:r>
          </w:p>
        </w:tc>
        <w:tc>
          <w:tcPr/>
          <w:p>
            <w:pPr>
              <w:pStyle w:val="Compact"/>
            </w:pPr>
            <w:r>
              <w:t xml:space="preserve">Bone-health therapy</w:t>
            </w:r>
          </w:p>
        </w:tc>
        <w:tc>
          <w:tcPr/>
          <w:p>
            <w:pPr>
              <w:pStyle w:val="Compact"/>
            </w:pPr>
            <w:r>
              <w:t xml:space="preserve">Not administered as a routine inpatient priority; remains outpatient chronic therapy to reconcile</w:t>
            </w:r>
          </w:p>
        </w:tc>
        <w:tc>
          <w:tcPr/>
          <w:p>
            <w:pPr>
              <w:pStyle w:val="Compact"/>
            </w:pPr>
            <w:r>
              <w:t xml:space="preserve">Supports steroid-exposure context without proving adrenal issue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Calcium carbonate / vitamin D combination</w:t>
            </w:r>
          </w:p>
        </w:tc>
        <w:tc>
          <w:tcPr/>
          <w:p>
            <w:pPr>
              <w:pStyle w:val="Compact"/>
            </w:pPr>
            <w:r>
              <w:t xml:space="preserve">Bone-health support</w:t>
            </w:r>
          </w:p>
        </w:tc>
        <w:tc>
          <w:tcPr/>
          <w:p>
            <w:pPr>
              <w:pStyle w:val="Compact"/>
            </w:pPr>
            <w:r>
              <w:t xml:space="preserve">Continued if available/tolerated</w:t>
            </w:r>
          </w:p>
        </w:tc>
        <w:tc>
          <w:tcPr/>
          <w:p>
            <w:pPr>
              <w:pStyle w:val="Compact"/>
            </w:pPr>
            <w:r>
              <w:t xml:space="preserve">Supplement reconciliation complexity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Cholecalciferol</w:t>
            </w:r>
          </w:p>
        </w:tc>
        <w:tc>
          <w:tcPr/>
          <w:p>
            <w:pPr>
              <w:pStyle w:val="Compact"/>
            </w:pPr>
            <w:r>
              <w:t xml:space="preserve">Vitamin D maintenance</w:t>
            </w:r>
          </w:p>
        </w:tc>
        <w:tc>
          <w:tcPr/>
          <w:p>
            <w:pPr>
              <w:pStyle w:val="Compact"/>
            </w:pPr>
            <w:r>
              <w:t xml:space="preserve">Continued if available/tolerated</w:t>
            </w:r>
          </w:p>
        </w:tc>
        <w:tc>
          <w:tcPr/>
          <w:p>
            <w:pPr>
              <w:pStyle w:val="Compact"/>
            </w:pPr>
            <w:r>
              <w:t xml:space="preserve">Supplement reconciliation complexity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Polyethylene glycol</w:t>
            </w:r>
          </w:p>
        </w:tc>
        <w:tc>
          <w:tcPr/>
          <w:p>
            <w:pPr>
              <w:pStyle w:val="Compact"/>
            </w:pPr>
            <w:r>
              <w:t xml:space="preserve">Bowel regimen</w:t>
            </w:r>
          </w:p>
        </w:tc>
        <w:tc>
          <w:tcPr/>
          <w:p>
            <w:pPr>
              <w:pStyle w:val="Compact"/>
            </w:pPr>
            <w:r>
              <w:t xml:space="preserve">Used as needed or continued based on bowel pattern</w:t>
            </w:r>
          </w:p>
        </w:tc>
        <w:tc>
          <w:tcPr/>
          <w:p>
            <w:pPr>
              <w:pStyle w:val="Compact"/>
            </w:pPr>
            <w:r>
              <w:t xml:space="preserve">Supportive regimen and discharge instruction complexity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Senna</w:t>
            </w:r>
          </w:p>
        </w:tc>
        <w:tc>
          <w:tcPr/>
          <w:p>
            <w:pPr>
              <w:pStyle w:val="Compact"/>
            </w:pPr>
            <w:r>
              <w:t xml:space="preserve">Bowel regimen</w:t>
            </w:r>
          </w:p>
        </w:tc>
        <w:tc>
          <w:tcPr/>
          <w:p>
            <w:pPr>
              <w:pStyle w:val="Compact"/>
            </w:pPr>
            <w:r>
              <w:t xml:space="preserve">Used as needed or continued based on bowel pattern</w:t>
            </w:r>
          </w:p>
        </w:tc>
        <w:tc>
          <w:tcPr/>
          <w:p>
            <w:pPr>
              <w:pStyle w:val="Compact"/>
            </w:pPr>
            <w:r>
              <w:t xml:space="preserve">Duplicate/supportive medication reconciliation issue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Acetaminophen</w:t>
            </w:r>
          </w:p>
        </w:tc>
        <w:tc>
          <w:tcPr/>
          <w:p>
            <w:pPr>
              <w:pStyle w:val="Compact"/>
            </w:pPr>
            <w:r>
              <w:t xml:space="preserve">Pain/supportive medication</w:t>
            </w:r>
          </w:p>
        </w:tc>
        <w:tc>
          <w:tcPr/>
          <w:p>
            <w:pPr>
              <w:pStyle w:val="Compact"/>
            </w:pPr>
            <w:r>
              <w:t xml:space="preserve">Available for pain/fever support</w:t>
            </w:r>
          </w:p>
        </w:tc>
        <w:tc>
          <w:tcPr/>
          <w:p>
            <w:pPr>
              <w:pStyle w:val="Compact"/>
            </w:pPr>
            <w:r>
              <w:t xml:space="preserve">Benign-looking medication burden</w:t>
            </w:r>
          </w:p>
        </w:tc>
      </w:tr>
    </w:tbl>
    <w:bookmarkEnd w:id="11"/>
    <w:bookmarkStart w:id="15" w:name="daily-medication-action-spine"/>
    <w:p>
      <w:pPr>
        <w:pStyle w:val="Heading2"/>
      </w:pPr>
      <w:r>
        <w:t xml:space="preserve">Daily Medication Action Spine</w:t>
      </w:r>
    </w:p>
    <w:bookmarkStart w:id="12" w:name="hd1-hd2"/>
    <w:p>
      <w:pPr>
        <w:pStyle w:val="Heading3"/>
      </w:pPr>
      <w:r>
        <w:t xml:space="preserve">HD1-HD2</w:t>
      </w:r>
    </w:p>
    <w:p>
      <w:pPr>
        <w:pStyle w:val="FirstParagraph"/>
      </w:pPr>
      <w:r>
        <w:t xml:space="preserve">The inpatient medication pattern prioritizes acute safety:</w:t>
      </w:r>
    </w:p>
    <w:p>
      <w:pPr>
        <w:pStyle w:val="Compact"/>
        <w:numPr>
          <w:ilvl w:val="0"/>
          <w:numId w:val="1002"/>
        </w:numPr>
      </w:pPr>
      <w:r>
        <w:t xml:space="preserve">renal/hemodynamic-sensitive HFrEF, diabetes, and diuretic medications are held or deferred;</w:t>
      </w:r>
    </w:p>
    <w:p>
      <w:pPr>
        <w:pStyle w:val="Compact"/>
        <w:numPr>
          <w:ilvl w:val="0"/>
          <w:numId w:val="1002"/>
        </w:numPr>
      </w:pPr>
      <w:r>
        <w:t xml:space="preserve">chronic protective therapies that are not driving acute hemodynamic/renal risk are generally continued;</w:t>
      </w:r>
    </w:p>
    <w:p>
      <w:pPr>
        <w:pStyle w:val="Compact"/>
        <w:numPr>
          <w:ilvl w:val="0"/>
          <w:numId w:val="1002"/>
        </w:numPr>
      </w:pPr>
      <w:r>
        <w:t xml:space="preserve">prednisone is handled cautiously because home taper/adherence is not verified;</w:t>
      </w:r>
    </w:p>
    <w:p>
      <w:pPr>
        <w:pStyle w:val="Compact"/>
        <w:numPr>
          <w:ilvl w:val="0"/>
          <w:numId w:val="1002"/>
        </w:numPr>
      </w:pPr>
      <w:r>
        <w:t xml:space="preserve">inpatient correctional insulin lispro may be used for glycemic control but is not treated as a baseline medication.</w:t>
      </w:r>
    </w:p>
    <w:bookmarkEnd w:id="12"/>
    <w:bookmarkStart w:id="13" w:name="hd3-hd4"/>
    <w:p>
      <w:pPr>
        <w:pStyle w:val="Heading3"/>
      </w:pPr>
      <w:r>
        <w:t xml:space="preserve">HD3-HD4</w:t>
      </w:r>
    </w:p>
    <w:p>
      <w:pPr>
        <w:pStyle w:val="FirstParagraph"/>
      </w:pPr>
      <w:r>
        <w:t xml:space="preserve">As objective trends improve, the medication question shifts from</w:t>
      </w:r>
      <w:r>
        <w:t xml:space="preserve"> </w:t>
      </w:r>
      <w:r>
        <w:t xml:space="preserve">“hold during acute illness”</w:t>
      </w:r>
      <w:r>
        <w:t xml:space="preserve"> </w:t>
      </w:r>
      <w:r>
        <w:t xml:space="preserve">to</w:t>
      </w:r>
      <w:r>
        <w:t xml:space="preserve"> </w:t>
      </w:r>
      <w:r>
        <w:t xml:space="preserve">“what should be safely resumed, when, and under what monitoring?”</w:t>
      </w:r>
    </w:p>
    <w:p>
      <w:pPr>
        <w:pStyle w:val="BodyText"/>
      </w:pPr>
      <w:r>
        <w:t xml:space="preserve">Key caution:</w:t>
      </w:r>
    </w:p>
    <w:p>
      <w:pPr>
        <w:pStyle w:val="Compact"/>
        <w:numPr>
          <w:ilvl w:val="0"/>
          <w:numId w:val="1003"/>
        </w:numPr>
      </w:pPr>
      <w:r>
        <w:t xml:space="preserve">MAR action history shows what happened, not what should happen next.</w:t>
      </w:r>
    </w:p>
    <w:p>
      <w:pPr>
        <w:pStyle w:val="Compact"/>
        <w:numPr>
          <w:ilvl w:val="0"/>
          <w:numId w:val="1003"/>
        </w:numPr>
      </w:pPr>
      <w:r>
        <w:t xml:space="preserve">Rheumatology provenance becomes available by HD4 and helps interpret intended prednisone taper, but MAR still does not prove pre-admission adherence.</w:t>
      </w:r>
    </w:p>
    <w:bookmarkEnd w:id="13"/>
    <w:bookmarkStart w:id="14" w:name="hd5-hd6-before-1800"/>
    <w:p>
      <w:pPr>
        <w:pStyle w:val="Heading3"/>
      </w:pPr>
      <w:r>
        <w:t xml:space="preserve">HD5-HD6 Before 18:00</w:t>
      </w:r>
    </w:p>
    <w:p>
      <w:pPr>
        <w:pStyle w:val="FirstParagraph"/>
      </w:pPr>
      <w:r>
        <w:t xml:space="preserve">Medication reassessment is active because discharge planning is plausible. The MAR supports several competing interpretations:</w:t>
      </w:r>
    </w:p>
    <w:p>
      <w:pPr>
        <w:pStyle w:val="Compact"/>
        <w:numPr>
          <w:ilvl w:val="0"/>
          <w:numId w:val="1004"/>
        </w:numPr>
      </w:pPr>
      <w:r>
        <w:t xml:space="preserve">Cardiology can reasonably worry that HFrEF/CAD protective medications should not be omitted indefinitely.</w:t>
      </w:r>
    </w:p>
    <w:p>
      <w:pPr>
        <w:pStyle w:val="Compact"/>
        <w:numPr>
          <w:ilvl w:val="0"/>
          <w:numId w:val="1004"/>
        </w:numPr>
      </w:pPr>
      <w:r>
        <w:t xml:space="preserve">Nephrology can reasonably worry that renal recovery, potassium, blood pressure, and volume status remain fragile.</w:t>
      </w:r>
    </w:p>
    <w:p>
      <w:pPr>
        <w:pStyle w:val="Compact"/>
        <w:numPr>
          <w:ilvl w:val="0"/>
          <w:numId w:val="1004"/>
        </w:numPr>
      </w:pPr>
      <w:r>
        <w:t xml:space="preserve">Endocrinology can reasonably worry that steroid exposure and taper ambiguity are underweighted.</w:t>
      </w:r>
    </w:p>
    <w:p>
      <w:pPr>
        <w:pStyle w:val="Compact"/>
        <w:numPr>
          <w:ilvl w:val="0"/>
          <w:numId w:val="1004"/>
        </w:numPr>
      </w:pPr>
      <w:r>
        <w:t xml:space="preserve">The hospitalist must reconcile actual actions, trends, source hierarchy, consultant timing, and discharge safety.</w:t>
      </w:r>
    </w:p>
    <w:bookmarkEnd w:id="14"/>
    <w:bookmarkEnd w:id="15"/>
    <w:bookmarkStart w:id="16" w:name="guardrails"/>
    <w:p>
      <w:pPr>
        <w:pStyle w:val="Heading2"/>
      </w:pPr>
      <w:r>
        <w:t xml:space="preserve">Guardrails</w:t>
      </w:r>
    </w:p>
    <w:p>
      <w:pPr>
        <w:pStyle w:val="FirstParagraph"/>
      </w:pPr>
      <w:r>
        <w:t xml:space="preserve">FI-W13 is not a discharge medication reconciliation, final medication list, final restart plan, final steroid plan, or answer file. It must be interpreted with FI-W04, FI-W05, FI-W06, FI-W12, consultant documentation, and discharge-planning sources.</w:t>
      </w:r>
    </w:p>
    <w:bookmarkEnd w:id="16"/>
    <w:bookmarkEnd w:id="17"/>
    <w:sectPr>
      <w:pgSz w:h="15840" w:orient="portrait" w:w="12240"/>
      <w:pgMar w:bottom="1080" w:footer="708" w:header="708" w:left="1080" w:right="1080" w:top="108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1">
    <w:lvl w:ilvl="0">
      <w:start w:val="1"/>
      <w:numFmt w:val="bullet"/>
      <w:lvlText w:val="●"/>
      <w:lvlJc w:val="left"/>
      <w:pPr>
        <w:ind w:hanging="360" w:left="720"/>
      </w:pPr>
      <w:rPr/>
    </w:lvl>
    <w:lvl w:ilvl="1">
      <w:start w:val="1"/>
      <w:numFmt w:val="bullet"/>
      <w:lvlText w:val="○"/>
      <w:lvlJc w:val="left"/>
      <w:pPr>
        <w:ind w:hanging="360" w:left="1440"/>
      </w:pPr>
      <w:rPr/>
    </w:lvl>
    <w:lvl w:ilvl="2">
      <w:start w:val="1"/>
      <w:numFmt w:val="bullet"/>
      <w:lvlText w:val="■"/>
      <w:lvlJc w:val="left"/>
      <w:pPr>
        <w:ind w:hanging="360" w:left="2160"/>
      </w:pPr>
      <w:rPr/>
    </w:lvl>
    <w:lvl w:ilvl="3">
      <w:start w:val="1"/>
      <w:numFmt w:val="bullet"/>
      <w:lvlText w:val="●"/>
      <w:lvlJc w:val="left"/>
      <w:pPr>
        <w:ind w:hanging="360" w:left="2880"/>
      </w:pPr>
      <w:rPr/>
    </w:lvl>
    <w:lvl w:ilvl="4">
      <w:start w:val="1"/>
      <w:numFmt w:val="bullet"/>
      <w:lvlText w:val="○"/>
      <w:lvlJc w:val="left"/>
      <w:pPr>
        <w:ind w:hanging="360" w:left="3600"/>
      </w:pPr>
      <w:rPr/>
    </w:lvl>
    <w:lvl w:ilvl="5">
      <w:start w:val="1"/>
      <w:numFmt w:val="bullet"/>
      <w:lvlText w:val="■"/>
      <w:lvlJc w:val="left"/>
      <w:pPr>
        <w:ind w:hanging="360" w:left="4320"/>
      </w:pPr>
      <w:rPr/>
    </w:lvl>
    <w:lvl w:ilvl="6">
      <w:start w:val="1"/>
      <w:numFmt w:val="bullet"/>
      <w:lvlText w:val="●"/>
      <w:lvlJc w:val="left"/>
      <w:pPr>
        <w:ind w:hanging="360" w:left="5040"/>
      </w:pPr>
      <w:rPr/>
    </w:lvl>
    <w:lvl w:ilvl="7">
      <w:start w:val="1"/>
      <w:numFmt w:val="bullet"/>
      <w:lvlText w:val="●"/>
      <w:lvlJc w:val="left"/>
      <w:pPr>
        <w:ind w:hanging="360" w:left="5760"/>
      </w:pPr>
      <w:rPr/>
    </w:lvl>
    <w:lvl w:ilvl="8">
      <w:start w:val="1"/>
      <w:numFmt w:val="bullet"/>
      <w:lvlText w:val="●"/>
      <w:lvlJc w:val="left"/>
      <w:pPr>
        <w:ind w:hanging="360" w:left="6480"/>
      </w:pPr>
      <w:rPr/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240" w:lineRule="auto"/>
      <w:ind w:firstLine="0" w:left="0" w:right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72c4"/>
      <w:sz w:val="32"/>
      <w:szCs w:val="32"/>
      <w:u w:val="none"/>
      <w:shd w:fill="auto" w:val="clear"/>
      <w:vertAlign w:val="baseline"/>
    </w:rPr>
  </w:style>
  <w:style w:styleId="Heading2" w:type="paragraph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180" w:line="240" w:lineRule="auto"/>
      <w:ind w:firstLine="0" w:left="0" w:right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72c4"/>
      <w:sz w:val="28"/>
      <w:szCs w:val="28"/>
      <w:u w:val="none"/>
      <w:shd w:fill="auto" w:val="clear"/>
      <w:vertAlign w:val="baseline"/>
    </w:rPr>
  </w:style>
  <w:style w:styleId="Heading3" w:type="paragraph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firstLine="0" w:left="0" w:right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styleId="Heading4" w:type="paragraph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firstLine="0" w:left="0" w:right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styleId="Heading5" w:type="paragraph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firstLine="0" w:left="0" w:right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styleId="Heading6" w:type="paragraph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firstLine="0" w:left="0" w:right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styleId="Title" w:type="paragraph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firstLine="0" w:left="0" w:right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styleId="Table1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2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3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4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5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6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7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8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9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0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1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2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3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4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5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6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7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8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9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20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2026-06-04T06:11:18Z</dcterms:created>
  <dcterms:modified xsi:type="dcterms:W3CDTF">2026-06-04T06:11:18Z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