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X99bec462171ab3ce089990f2d74cba3bc60b370"/>
    <w:p>
      <w:pPr>
        <w:pStyle w:val="Heading1"/>
      </w:pPr>
      <w:r>
        <w:t xml:space="preserve">FI-W14 - Nephrology Consultation Documentation</w:t>
      </w:r>
    </w:p>
    <w:p>
      <w:pPr>
        <w:pStyle w:val="FirstParagraph"/>
      </w:pPr>
      <w:r>
        <w:t xml:space="preserve">File ID: FI-W14</w:t>
      </w:r>
    </w:p>
    <w:p>
      <w:pPr>
        <w:pStyle w:val="BodyText"/>
      </w:pPr>
      <w:r>
        <w:t xml:space="preserve">File Type: Nephrology consultation documentation</w:t>
      </w:r>
    </w:p>
    <w:p>
      <w:pPr>
        <w:pStyle w:val="BodyText"/>
      </w:pPr>
      <w:r>
        <w:t xml:space="preserve">Level: World-Level</w:t>
      </w:r>
    </w:p>
    <w:p>
      <w:pPr>
        <w:pStyle w:val="BodyText"/>
      </w:pPr>
      <w:r>
        <w:t xml:space="preserve">Approximate Date / Anchor: HD2-HD6, strongest HD4-HD6</w:t>
      </w:r>
    </w:p>
    <w:p>
      <w:pPr>
        <w:pStyle w:val="BodyText"/>
      </w:pPr>
      <w:r>
        <w:t xml:space="preserve">Author / Source: Dr. Iven Solthar / Nephrology</w:t>
      </w:r>
    </w:p>
    <w:p>
      <w:pPr>
        <w:pStyle w:val="BodyText"/>
      </w:pPr>
      <w:r>
        <w:t xml:space="preserve">Tool / Origin: Writer-created synthetic consultant file</w:t>
      </w:r>
    </w:p>
    <w:p>
      <w:pPr>
        <w:pStyle w:val="BodyText"/>
      </w:pPr>
      <w:r>
        <w:t xml:space="preserve">Purpose: Represent AKI-on-CKD recovery, hypotension/volume risk, renal medication safety, and time-sensitive medication recommendations.</w:t>
      </w:r>
    </w:p>
    <w:p>
      <w:pPr>
        <w:pStyle w:val="BodyText"/>
      </w:pPr>
      <w:r>
        <w:t xml:space="preserve">Supported Workflow(s) / Trap(s) / Friction(s): Discharge Medication Reconciliation; Interdisciplinary Care Plan Development and Documentation; Traps #2, #5; Cardiology vs Nephrology</w:t>
      </w:r>
    </w:p>
    <w:p>
      <w:pPr>
        <w:pStyle w:val="BodyText"/>
      </w:pPr>
      <w:r>
        <w:t xml:space="preserve">World Boundary: contains only information available before world close on 05/23/2026 at 18:00. It contains no completed discharge outcome, post-discharge follow-up, task framing, expected output, golden response, or grader guidance.</w:t>
      </w:r>
    </w:p>
    <w:bookmarkStart w:id="9" w:name="nephrology-consultation-documentation"/>
    <w:p>
      <w:pPr>
        <w:pStyle w:val="Heading2"/>
      </w:pPr>
      <w:r>
        <w:t xml:space="preserve">Nephrology Consultation Documentation</w:t>
      </w:r>
    </w:p>
    <w:p>
      <w:pPr>
        <w:pStyle w:val="FirstParagraph"/>
      </w:pPr>
      <w:r>
        <w:t xml:space="preserve">Patient: Korvin Merrow</w:t>
      </w:r>
    </w:p>
    <w:p>
      <w:pPr>
        <w:pStyle w:val="BodyText"/>
      </w:pPr>
      <w:r>
        <w:t xml:space="preserve">Consultant: Dr. Iven Solthar</w:t>
      </w:r>
    </w:p>
    <w:p>
      <w:pPr>
        <w:pStyle w:val="BodyText"/>
      </w:pPr>
      <w:r>
        <w:t xml:space="preserve">Service: Nephrology</w:t>
      </w:r>
    </w:p>
    <w:p>
      <w:pPr>
        <w:pStyle w:val="BodyText"/>
      </w:pPr>
      <w:r>
        <w:t xml:space="preserve">Consult window: HD2-HD6, with active follow-up through 05/23/2026 before 18:00</w:t>
      </w:r>
    </w:p>
    <w:p>
      <w:pPr>
        <w:pStyle w:val="BodyText"/>
      </w:pPr>
      <w:r>
        <w:t xml:space="preserve">Reason for consultation: AKI on CKD stage 3 in the setting of suspected infection physiology, poor oral intake, borderline hemodynamic reserve, HFrEF/CAD medication complexity, and discharge medication planning.</w:t>
      </w:r>
    </w:p>
    <w:bookmarkEnd w:id="9"/>
    <w:bookmarkStart w:id="10" w:name="Xf26018c5cd4a4eb7614df95fd446bf5a52990d5"/>
    <w:p>
      <w:pPr>
        <w:pStyle w:val="Heading2"/>
      </w:pPr>
      <w:r>
        <w:t xml:space="preserve">Initial Nephrology Impression - HD2 / 05/19/2026</w:t>
      </w:r>
    </w:p>
    <w:p>
      <w:pPr>
        <w:pStyle w:val="FirstParagraph"/>
      </w:pPr>
      <w:r>
        <w:t xml:space="preserve">Korvin has AKI on known CKD stage 3, likely multifactorial in the setting of poor intake, suspected infection physiology, hemodynamic vulnerability, and chronic medications that affect renal perfusion, potassium, volume status, or glycemic/renal handling.</w:t>
      </w:r>
    </w:p>
    <w:p>
      <w:pPr>
        <w:pStyle w:val="BodyText"/>
      </w:pPr>
      <w:r>
        <w:t xml:space="preserve">The admission pattern is clinically consistent with acute illness superimposed on limited renal reserve. The creatinine trend is improving from admission, but the improvement is early and should not be treated as full return to baseline renal resilience.</w:t>
      </w:r>
    </w:p>
    <w:p>
      <w:pPr>
        <w:pStyle w:val="BodyText"/>
      </w:pPr>
      <w:r>
        <w:t xml:space="preserve">Nephrology interpretation:</w:t>
      </w:r>
    </w:p>
    <w:p>
      <w:pPr>
        <w:pStyle w:val="Compact"/>
        <w:numPr>
          <w:ilvl w:val="0"/>
          <w:numId w:val="1001"/>
        </w:numPr>
      </w:pPr>
      <w:r>
        <w:t xml:space="preserve">early holds of sacubitril/valsartan, spironolactone, empagliflozin, metformin, and diuretic therapy are understandable during AKI, poor intake, and low-normal blood pressure;</w:t>
      </w:r>
    </w:p>
    <w:p>
      <w:pPr>
        <w:pStyle w:val="Compact"/>
        <w:numPr>
          <w:ilvl w:val="0"/>
          <w:numId w:val="1001"/>
        </w:numPr>
      </w:pPr>
      <w:r>
        <w:t xml:space="preserve">carvedilol requires hemodynamic-context review rather than automatic continuation or permanent discontinuation;</w:t>
      </w:r>
    </w:p>
    <w:p>
      <w:pPr>
        <w:pStyle w:val="Compact"/>
        <w:numPr>
          <w:ilvl w:val="0"/>
          <w:numId w:val="1001"/>
        </w:numPr>
      </w:pPr>
      <w:r>
        <w:t xml:space="preserve">aspirin and statin therapy do not create the same renal safety issue and should be reviewed in the broader cardiovascular plan;</w:t>
      </w:r>
    </w:p>
    <w:p>
      <w:pPr>
        <w:pStyle w:val="Compact"/>
        <w:numPr>
          <w:ilvl w:val="0"/>
          <w:numId w:val="1001"/>
        </w:numPr>
      </w:pPr>
      <w:r>
        <w:t xml:space="preserve">medication decisions should be revisited as the trend evolves rather than copied forward from the admission day.</w:t>
      </w:r>
    </w:p>
    <w:p>
      <w:pPr>
        <w:pStyle w:val="FirstParagraph"/>
      </w:pPr>
      <w:r>
        <w:t xml:space="preserve">This note does not create a final medication plan.</w:t>
      </w:r>
    </w:p>
    <w:bookmarkEnd w:id="10"/>
    <w:bookmarkStart w:id="11" w:name="follow-up-review---hd4-05212026"/>
    <w:p>
      <w:pPr>
        <w:pStyle w:val="Heading2"/>
      </w:pPr>
      <w:r>
        <w:t xml:space="preserve">Follow-Up Review - HD4 / 05/21/2026</w:t>
      </w:r>
    </w:p>
    <w:p>
      <w:pPr>
        <w:pStyle w:val="FirstParagraph"/>
      </w:pPr>
      <w:r>
        <w:t xml:space="preserve">The objective trend source shows renal recovery compared with HD1. Creatinine has improved from 2.62 mg/dL at admission to 1.98 mg/dL on HD4, with potassium improving from 5.1 mmol/L to 4.6 mmol/L. These are reassuring trends, but Korvin remains close enough to his renal baseline and recent illness that medication timing still matters.</w:t>
      </w:r>
    </w:p>
    <w:p>
      <w:pPr>
        <w:pStyle w:val="BodyText"/>
      </w:pPr>
      <w:r>
        <w:t xml:space="preserve">Current renal/hemodynamic interpretation:</w:t>
      </w:r>
    </w:p>
    <w:p>
      <w:pPr>
        <w:pStyle w:val="Compact"/>
        <w:numPr>
          <w:ilvl w:val="0"/>
          <w:numId w:val="1002"/>
        </w:numPr>
      </w:pPr>
      <w:r>
        <w:t xml:space="preserve">renal function is improving toward the outpatient comparator range;</w:t>
      </w:r>
    </w:p>
    <w:p>
      <w:pPr>
        <w:pStyle w:val="Compact"/>
        <w:numPr>
          <w:ilvl w:val="0"/>
          <w:numId w:val="1002"/>
        </w:numPr>
      </w:pPr>
      <w:r>
        <w:t xml:space="preserve">potassium has improved but remains clinically relevant if renin-angiotensin or mineralocorticoid receptor antagonist therapy is resumed;</w:t>
      </w:r>
    </w:p>
    <w:p>
      <w:pPr>
        <w:pStyle w:val="Compact"/>
        <w:numPr>
          <w:ilvl w:val="0"/>
          <w:numId w:val="1002"/>
        </w:numPr>
      </w:pPr>
      <w:r>
        <w:t xml:space="preserve">oral intake remains inconsistent across shifts;</w:t>
      </w:r>
    </w:p>
    <w:p>
      <w:pPr>
        <w:pStyle w:val="Compact"/>
        <w:numPr>
          <w:ilvl w:val="0"/>
          <w:numId w:val="1002"/>
        </w:numPr>
      </w:pPr>
      <w:r>
        <w:t xml:space="preserve">blood pressure is more stable but still vulnerable to medication effects;</w:t>
      </w:r>
    </w:p>
    <w:p>
      <w:pPr>
        <w:pStyle w:val="Compact"/>
        <w:numPr>
          <w:ilvl w:val="0"/>
          <w:numId w:val="1002"/>
        </w:numPr>
      </w:pPr>
      <w:r>
        <w:t xml:space="preserve">volume status is not fully captured by creatinine alone.</w:t>
      </w:r>
    </w:p>
    <w:p>
      <w:pPr>
        <w:pStyle w:val="FirstParagraph"/>
      </w:pPr>
      <w:r>
        <w:t xml:space="preserve">Nephrology agrees the chronic HFrEF/CAD regimen should not be lost indefinitely. The concern is sequencing and monitoring, not permanent abandonment of protective therapy.</w:t>
      </w:r>
    </w:p>
    <w:p>
      <w:pPr>
        <w:pStyle w:val="BodyText"/>
      </w:pPr>
      <w:r>
        <w:t xml:space="preserve">Nephrology recommendation frame:</w:t>
      </w:r>
    </w:p>
    <w:p>
      <w:pPr>
        <w:pStyle w:val="Compact"/>
        <w:numPr>
          <w:ilvl w:val="0"/>
          <w:numId w:val="1003"/>
        </w:numPr>
      </w:pPr>
      <w:r>
        <w:t xml:space="preserve">avoid restarting all renal/hemodynamic-sensitive medications at once;</w:t>
      </w:r>
    </w:p>
    <w:p>
      <w:pPr>
        <w:pStyle w:val="Compact"/>
        <w:numPr>
          <w:ilvl w:val="0"/>
          <w:numId w:val="1003"/>
        </w:numPr>
      </w:pPr>
      <w:r>
        <w:t xml:space="preserve">reassess diuretic need based on intake, weight/volume exam, symptoms, and renal trend;</w:t>
      </w:r>
    </w:p>
    <w:p>
      <w:pPr>
        <w:pStyle w:val="Compact"/>
        <w:numPr>
          <w:ilvl w:val="0"/>
          <w:numId w:val="1003"/>
        </w:numPr>
      </w:pPr>
      <w:r>
        <w:t xml:space="preserve">avoid premature spironolactone restart while recent AKI and potassium risk remain active considerations;</w:t>
      </w:r>
    </w:p>
    <w:p>
      <w:pPr>
        <w:pStyle w:val="Compact"/>
        <w:numPr>
          <w:ilvl w:val="0"/>
          <w:numId w:val="1003"/>
        </w:numPr>
      </w:pPr>
      <w:r>
        <w:t xml:space="preserve">consider whether sacubitril/valsartan can be reintroduced only if blood pressure, potassium, renal trend, and oral intake remain stable enough;</w:t>
      </w:r>
    </w:p>
    <w:p>
      <w:pPr>
        <w:pStyle w:val="Compact"/>
        <w:numPr>
          <w:ilvl w:val="0"/>
          <w:numId w:val="1003"/>
        </w:numPr>
      </w:pPr>
      <w:r>
        <w:t xml:space="preserve">keep metformin and empagliflozin tied to renal recovery, intake, and acute-illness resolution rather than baseline outpatient use alone.</w:t>
      </w:r>
    </w:p>
    <w:p>
      <w:pPr>
        <w:pStyle w:val="FirstParagraph"/>
      </w:pPr>
      <w:r>
        <w:t xml:space="preserve">These recommendations are time-sensitive and should be reconciled with cardiology and hospitalist assessment.</w:t>
      </w:r>
    </w:p>
    <w:bookmarkEnd w:id="11"/>
    <w:bookmarkStart w:id="12" w:name="X47e1a93f8459f1b7d774c7a16bf0ecf1ac77b7f"/>
    <w:p>
      <w:pPr>
        <w:pStyle w:val="Heading2"/>
      </w:pPr>
      <w:r>
        <w:t xml:space="preserve">HD5-HD6 Pre-Close Addendum - 05/22/2026-05/23/2026 Before 18:00</w:t>
      </w:r>
    </w:p>
    <w:p>
      <w:pPr>
        <w:pStyle w:val="FirstParagraph"/>
      </w:pPr>
      <w:r>
        <w:t xml:space="preserve">Korvin continues to improve objectively. FI-W12 shows creatinine near 1.80 mg/dL by HD6 before world close, potassium 4.4 mmol/L, and improved infection/hemodynamic markers. This supports medication reassessment.</w:t>
      </w:r>
    </w:p>
    <w:p>
      <w:pPr>
        <w:pStyle w:val="BodyText"/>
      </w:pPr>
      <w:r>
        <w:t xml:space="preserve">It does not prove that discharge medication restart is solved.</w:t>
      </w:r>
    </w:p>
    <w:p>
      <w:pPr>
        <w:pStyle w:val="BodyText"/>
      </w:pPr>
      <w:r>
        <w:t xml:space="preserve">Nephrology concerns that remain relevant before discharge planning is finalized:</w:t>
      </w:r>
    </w:p>
    <w:p>
      <w:pPr>
        <w:pStyle w:val="Compact"/>
        <w:numPr>
          <w:ilvl w:val="0"/>
          <w:numId w:val="1004"/>
        </w:numPr>
      </w:pPr>
      <w:r>
        <w:t xml:space="preserve">renal recovery is recent and occurred after acute illness and medication holds;</w:t>
      </w:r>
    </w:p>
    <w:p>
      <w:pPr>
        <w:pStyle w:val="Compact"/>
        <w:numPr>
          <w:ilvl w:val="0"/>
          <w:numId w:val="1004"/>
        </w:numPr>
      </w:pPr>
      <w:r>
        <w:t xml:space="preserve">potassium risk remains relevant for spironolactone and renin-angiotensin-neprilysin pathway therapy;</w:t>
      </w:r>
    </w:p>
    <w:p>
      <w:pPr>
        <w:pStyle w:val="Compact"/>
        <w:numPr>
          <w:ilvl w:val="0"/>
          <w:numId w:val="1004"/>
        </w:numPr>
      </w:pPr>
      <w:r>
        <w:t xml:space="preserve">floor blood pressure stability does not fully demonstrate orthostatic reserve or home physiologic reserve;</w:t>
      </w:r>
    </w:p>
    <w:p>
      <w:pPr>
        <w:pStyle w:val="Compact"/>
        <w:numPr>
          <w:ilvl w:val="0"/>
          <w:numId w:val="1004"/>
        </w:numPr>
      </w:pPr>
      <w:r>
        <w:t xml:space="preserve">intake has improved but should be interpreted with functional status and caregiver support;</w:t>
      </w:r>
    </w:p>
    <w:p>
      <w:pPr>
        <w:pStyle w:val="Compact"/>
        <w:numPr>
          <w:ilvl w:val="0"/>
          <w:numId w:val="1004"/>
        </w:numPr>
      </w:pPr>
      <w:r>
        <w:t xml:space="preserve">a medication plan that is reasonable for long-term HF protection can still be unsafe if restarted too quickly or without monitoring.</w:t>
      </w:r>
    </w:p>
    <w:p>
      <w:pPr>
        <w:pStyle w:val="FirstParagraph"/>
      </w:pPr>
      <w:r>
        <w:t xml:space="preserve">Nephrology does not object to cardiology’s goal of preserving HFrEF/CAD protective therapy. Nephrology objects to treating improving creatinine alone as a sufficient reason for complete simultaneous restart.</w:t>
      </w:r>
    </w:p>
    <w:bookmarkEnd w:id="12"/>
    <w:bookmarkStart w:id="13" w:name="medication-safety-interpretation"/>
    <w:p>
      <w:pPr>
        <w:pStyle w:val="Heading2"/>
      </w:pPr>
      <w:r>
        <w:t xml:space="preserve">Medication-Safety Interpretation</w:t>
      </w:r>
    </w:p>
    <w:p>
      <w:pPr>
        <w:pStyle w:val="FirstParagraph"/>
      </w:pPr>
      <w:r>
        <w:t xml:space="preserve">The MAR/action source confirms that several renal-sensitive medications were held or reassessed during hospitalization. That action history is appropriate source evidence but not a final discharge medication list.</w:t>
      </w:r>
    </w:p>
    <w:p>
      <w:pPr>
        <w:pStyle w:val="BodyText"/>
      </w:pPr>
      <w:r>
        <w:t xml:space="preserve">Renal-specific interpretation of selected medication categories:</w:t>
      </w:r>
    </w:p>
    <w:p>
      <w:pPr>
        <w:pStyle w:val="Compact"/>
        <w:numPr>
          <w:ilvl w:val="0"/>
          <w:numId w:val="1005"/>
        </w:numPr>
      </w:pPr>
      <w:r>
        <w:t xml:space="preserve">Sacubitril/valsartan: reasonable to reassess as renal function and blood pressure improve; timing should account for potassium, blood pressure, intake, and follow-up monitoring.</w:t>
      </w:r>
    </w:p>
    <w:p>
      <w:pPr>
        <w:pStyle w:val="Compact"/>
        <w:numPr>
          <w:ilvl w:val="0"/>
          <w:numId w:val="1005"/>
        </w:numPr>
      </w:pPr>
      <w:r>
        <w:t xml:space="preserve">Spironolactone: higher potassium/renal-risk concern after AKI; should not be restarted merely because chronic HFrEF therapy exists.</w:t>
      </w:r>
    </w:p>
    <w:p>
      <w:pPr>
        <w:pStyle w:val="Compact"/>
        <w:numPr>
          <w:ilvl w:val="0"/>
          <w:numId w:val="1005"/>
        </w:numPr>
      </w:pPr>
      <w:r>
        <w:t xml:space="preserve">Furosemide: depends on volume assessment, intake, weight trend, symptoms, and discharge environment; poor intake history matters.</w:t>
      </w:r>
    </w:p>
    <w:p>
      <w:pPr>
        <w:pStyle w:val="Compact"/>
        <w:numPr>
          <w:ilvl w:val="0"/>
          <w:numId w:val="1005"/>
        </w:numPr>
      </w:pPr>
      <w:r>
        <w:t xml:space="preserve">Empagliflozin: useful chronic therapy, but acute illness and intake concerns remain relevant.</w:t>
      </w:r>
    </w:p>
    <w:p>
      <w:pPr>
        <w:pStyle w:val="Compact"/>
        <w:numPr>
          <w:ilvl w:val="0"/>
          <w:numId w:val="1005"/>
        </w:numPr>
      </w:pPr>
      <w:r>
        <w:t xml:space="preserve">Metformin ER: outpatient diabetes therapy, but renal and acute-illness context should govern restart timing.</w:t>
      </w:r>
    </w:p>
    <w:p>
      <w:pPr>
        <w:pStyle w:val="Compact"/>
        <w:numPr>
          <w:ilvl w:val="0"/>
          <w:numId w:val="1005"/>
        </w:numPr>
      </w:pPr>
      <w:r>
        <w:t xml:space="preserve">Carvedilol: hemodynamic tolerance matters; beta-blocker decisions should be interpreted with cardiology and primary-team assessment.</w:t>
      </w:r>
    </w:p>
    <w:bookmarkEnd w:id="13"/>
    <w:bookmarkStart w:id="14" w:name="relationship-to-cardiology"/>
    <w:p>
      <w:pPr>
        <w:pStyle w:val="Heading2"/>
      </w:pPr>
      <w:r>
        <w:t xml:space="preserve">Relationship To Cardiology</w:t>
      </w:r>
    </w:p>
    <w:p>
      <w:pPr>
        <w:pStyle w:val="FirstParagraph"/>
      </w:pPr>
      <w:r>
        <w:t xml:space="preserve">Cardiology’s concern about long-term HFrEF/CAD protection is clinically valid. Nephrology’s concern is that renal recovery and hemodynamic reserve are still recent, source-dependent, and discharge-context sensitive.</w:t>
      </w:r>
    </w:p>
    <w:p>
      <w:pPr>
        <w:pStyle w:val="BodyText"/>
      </w:pPr>
      <w:r>
        <w:t xml:space="preserve">Neither perspective resolves the final medication plan alone.</w:t>
      </w:r>
    </w:p>
    <w:p>
      <w:pPr>
        <w:pStyle w:val="BodyText"/>
      </w:pPr>
      <w:r>
        <w:t xml:space="preserve">The primary team should synthesize:</w:t>
      </w:r>
    </w:p>
    <w:p>
      <w:pPr>
        <w:pStyle w:val="Compact"/>
        <w:numPr>
          <w:ilvl w:val="0"/>
          <w:numId w:val="1006"/>
        </w:numPr>
      </w:pPr>
      <w:r>
        <w:t xml:space="preserve">objective renal and potassium trends;</w:t>
      </w:r>
    </w:p>
    <w:p>
      <w:pPr>
        <w:pStyle w:val="Compact"/>
        <w:numPr>
          <w:ilvl w:val="0"/>
          <w:numId w:val="1006"/>
        </w:numPr>
      </w:pPr>
      <w:r>
        <w:t xml:space="preserve">actual MAR actions and holds;</w:t>
      </w:r>
    </w:p>
    <w:p>
      <w:pPr>
        <w:pStyle w:val="Compact"/>
        <w:numPr>
          <w:ilvl w:val="0"/>
          <w:numId w:val="1006"/>
        </w:numPr>
      </w:pPr>
      <w:r>
        <w:t xml:space="preserve">blood pressure and oral intake trajectory;</w:t>
      </w:r>
    </w:p>
    <w:p>
      <w:pPr>
        <w:pStyle w:val="Compact"/>
        <w:numPr>
          <w:ilvl w:val="0"/>
          <w:numId w:val="1006"/>
        </w:numPr>
      </w:pPr>
      <w:r>
        <w:t xml:space="preserve">HFrEF/CAD risk;</w:t>
      </w:r>
    </w:p>
    <w:p>
      <w:pPr>
        <w:pStyle w:val="Compact"/>
        <w:numPr>
          <w:ilvl w:val="0"/>
          <w:numId w:val="1006"/>
        </w:numPr>
      </w:pPr>
      <w:r>
        <w:t xml:space="preserve">discharge monitoring feasibility;</w:t>
      </w:r>
    </w:p>
    <w:p>
      <w:pPr>
        <w:pStyle w:val="Compact"/>
        <w:numPr>
          <w:ilvl w:val="0"/>
          <w:numId w:val="1006"/>
        </w:numPr>
      </w:pPr>
      <w:r>
        <w:t xml:space="preserve">functional and medication-management safety.</w:t>
      </w:r>
    </w:p>
    <w:bookmarkEnd w:id="14"/>
    <w:bookmarkStart w:id="15" w:name="assessment"/>
    <w:p>
      <w:pPr>
        <w:pStyle w:val="Heading2"/>
      </w:pPr>
      <w:r>
        <w:t xml:space="preserve">Assessment</w:t>
      </w:r>
    </w:p>
    <w:p>
      <w:pPr>
        <w:pStyle w:val="FirstParagraph"/>
      </w:pPr>
      <w:r>
        <w:t xml:space="preserve">AKI on CKD stage 3 is improving but not irrelevant. Korvin is safer than at admission, but his medication restart strategy remains a timing and monitoring problem rather than a single-note decision.</w:t>
      </w:r>
    </w:p>
    <w:bookmarkEnd w:id="15"/>
    <w:bookmarkStart w:id="16" w:name="guardrails"/>
    <w:p>
      <w:pPr>
        <w:pStyle w:val="Heading2"/>
      </w:pPr>
      <w:r>
        <w:t xml:space="preserve">Guardrails</w:t>
      </w:r>
    </w:p>
    <w:p>
      <w:pPr>
        <w:pStyle w:val="FirstParagraph"/>
      </w:pPr>
      <w:r>
        <w:t xml:space="preserve">This nephrology file is a consultant interpretation. It is not a discharge summary, final medication reconciliation, final disposition decision, or answer file. It does not override attending synthesis, cardiology reasoning, MAR evidence, objective trends, functional evidence, family concern, or future discharge-facing sources.</w:t>
      </w:r>
    </w:p>
    <w:bookmarkEnd w:id="16"/>
    <w:bookmarkEnd w:id="17"/>
    <w:sectPr>
      <w:pgSz w:h="15840" w:orient="portrait" w:w="12240"/>
      <w:pgMar w:bottom="1080" w:footer="708" w:header="708" w:left="1080" w:right="1080" w:top="108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lvl>
    <w:lvl w:ilvl="1">
      <w:start w:val="1"/>
      <w:numFmt w:val="bullet"/>
      <w:lvlText w:val="○"/>
      <w:lvlJc w:val="left"/>
      <w:pPr>
        <w:ind w:hanging="360" w:left="1440"/>
      </w:pPr>
      <w:rPr/>
    </w:lvl>
    <w:lvl w:ilvl="2">
      <w:start w:val="1"/>
      <w:numFmt w:val="bullet"/>
      <w:lvlText w:val="■"/>
      <w:lvlJc w:val="left"/>
      <w:pPr>
        <w:ind w:hanging="360" w:left="2160"/>
      </w:pPr>
      <w:rPr/>
    </w:lvl>
    <w:lvl w:ilvl="3">
      <w:start w:val="1"/>
      <w:numFmt w:val="bullet"/>
      <w:lvlText w:val="●"/>
      <w:lvlJc w:val="left"/>
      <w:pPr>
        <w:ind w:hanging="360" w:left="2880"/>
      </w:pPr>
      <w:rPr/>
    </w:lvl>
    <w:lvl w:ilvl="4">
      <w:start w:val="1"/>
      <w:numFmt w:val="bullet"/>
      <w:lvlText w:val="○"/>
      <w:lvlJc w:val="left"/>
      <w:pPr>
        <w:ind w:hanging="360" w:left="3600"/>
      </w:pPr>
      <w:rPr/>
    </w:lvl>
    <w:lvl w:ilvl="5">
      <w:start w:val="1"/>
      <w:numFmt w:val="bullet"/>
      <w:lvlText w:val="■"/>
      <w:lvlJc w:val="left"/>
      <w:pPr>
        <w:ind w:hanging="360" w:left="4320"/>
      </w:pPr>
      <w:rPr/>
    </w:lvl>
    <w:lvl w:ilvl="6">
      <w:start w:val="1"/>
      <w:numFmt w:val="bullet"/>
      <w:lvlText w:val="●"/>
      <w:lvlJc w:val="left"/>
      <w:pPr>
        <w:ind w:hanging="360" w:left="5040"/>
      </w:pPr>
      <w:rPr/>
    </w:lvl>
    <w:lvl w:ilvl="7">
      <w:start w:val="1"/>
      <w:numFmt w:val="bullet"/>
      <w:lvlText w:val="●"/>
      <w:lvlJc w:val="left"/>
      <w:pPr>
        <w:ind w:hanging="360" w:left="5760"/>
      </w:pPr>
      <w:rPr/>
    </w:lvl>
    <w:lvl w:ilvl="8">
      <w:start w:val="1"/>
      <w:numFmt w:val="bullet"/>
      <w:lvlText w:val="●"/>
      <w:lvlJc w:val="left"/>
      <w:pPr>
        <w:ind w:hanging="360" w:left="6480"/>
      </w:pPr>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rPr>
    </w:rPrDefault>
    <w:pPrDefault>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firstLine="0" w:left="0" w:right="0"/>
      <w:jc w:val="left"/>
    </w:pPr>
    <w:rPr>
      <w:rFonts w:ascii="Arial" w:cs="Arial" w:eastAsia="Arial" w:hAnsi="Arial"/>
      <w:b w:val="1"/>
      <w:bCs w:val="1"/>
      <w:i w:val="0"/>
      <w:iCs w:val="0"/>
      <w:smallCaps w:val="0"/>
      <w:strike w:val="0"/>
      <w:color w:val="4472c4"/>
      <w:sz w:val="32"/>
      <w:szCs w:val="32"/>
      <w:u w:val="none"/>
      <w:shd w:fill="auto" w:val="clear"/>
      <w:vertAlign w:val="baseline"/>
    </w:rPr>
  </w:style>
  <w:style w:styleId="Heading2" w:type="paragraph">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firstLine="0" w:left="0" w:right="0"/>
      <w:jc w:val="left"/>
    </w:pPr>
    <w:rPr>
      <w:rFonts w:ascii="Arial" w:cs="Arial" w:eastAsia="Arial" w:hAnsi="Arial"/>
      <w:b w:val="1"/>
      <w:bCs w:val="1"/>
      <w:i w:val="0"/>
      <w:iCs w:val="0"/>
      <w:smallCaps w:val="0"/>
      <w:strike w:val="0"/>
      <w:color w:val="4472c4"/>
      <w:sz w:val="28"/>
      <w:szCs w:val="28"/>
      <w:u w:val="none"/>
      <w:shd w:fill="auto" w:val="clear"/>
      <w:vertAlign w:val="baseline"/>
    </w:rPr>
  </w:style>
  <w:style w:styleId="Heading3" w:type="paragraph">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firstLine="0" w:left="0" w:right="0"/>
      <w:jc w:val="left"/>
    </w:pPr>
    <w:rPr>
      <w:rFonts w:ascii="Arial" w:cs="Arial" w:eastAsia="Arial" w:hAnsi="Arial"/>
      <w:b w:val="0"/>
      <w:bCs w:val="0"/>
      <w:i w:val="0"/>
      <w:iCs w:val="0"/>
      <w:smallCaps w:val="0"/>
      <w:strike w:val="0"/>
      <w:color w:val="1f4d78"/>
      <w:sz w:val="24"/>
      <w:szCs w:val="24"/>
      <w:u w:val="none"/>
      <w:shd w:fill="auto" w:val="clear"/>
      <w:vertAlign w:val="baseline"/>
    </w:rPr>
  </w:style>
  <w:style w:styleId="Heading4" w:type="paragraph">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firstLine="0" w:left="0" w:right="0"/>
      <w:jc w:val="left"/>
    </w:pPr>
    <w:rPr>
      <w:rFonts w:ascii="Arial" w:cs="Arial" w:eastAsia="Arial" w:hAnsi="Arial"/>
      <w:b w:val="0"/>
      <w:bCs w:val="0"/>
      <w:i w:val="1"/>
      <w:iCs w:val="1"/>
      <w:smallCaps w:val="0"/>
      <w:strike w:val="0"/>
      <w:color w:val="2e74b5"/>
      <w:sz w:val="22"/>
      <w:szCs w:val="22"/>
      <w:u w:val="none"/>
      <w:shd w:fill="auto" w:val="clear"/>
      <w:vertAlign w:val="baseline"/>
    </w:rPr>
  </w:style>
  <w:style w:styleId="Heading5" w:type="paragraph">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firstLine="0" w:left="0" w:right="0"/>
      <w:jc w:val="left"/>
    </w:pPr>
    <w:rPr>
      <w:rFonts w:ascii="Arial" w:cs="Arial" w:eastAsia="Arial" w:hAnsi="Arial"/>
      <w:b w:val="0"/>
      <w:bCs w:val="0"/>
      <w:i w:val="0"/>
      <w:iCs w:val="0"/>
      <w:smallCaps w:val="0"/>
      <w:strike w:val="0"/>
      <w:color w:val="2e74b5"/>
      <w:sz w:val="22"/>
      <w:szCs w:val="22"/>
      <w:u w:val="none"/>
      <w:shd w:fill="auto" w:val="clear"/>
      <w:vertAlign w:val="baseline"/>
    </w:rPr>
  </w:style>
  <w:style w:styleId="Heading6" w:type="paragraph">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firstLine="0" w:left="0" w:right="0"/>
      <w:jc w:val="left"/>
    </w:pPr>
    <w:rPr>
      <w:rFonts w:ascii="Arial" w:cs="Arial" w:eastAsia="Arial" w:hAnsi="Arial"/>
      <w:b w:val="0"/>
      <w:bCs w:val="0"/>
      <w:i w:val="0"/>
      <w:iCs w:val="0"/>
      <w:smallCaps w:val="0"/>
      <w:strike w:val="0"/>
      <w:color w:val="1f4d78"/>
      <w:sz w:val="22"/>
      <w:szCs w:val="22"/>
      <w:u w:val="none"/>
      <w:shd w:fill="auto" w:val="clear"/>
      <w:vertAlign w:val="baseline"/>
    </w:rPr>
  </w:style>
  <w:style w:styleId="Title" w:type="paragraph">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firstLine="0" w:left="0" w:right="0"/>
      <w:jc w:val="left"/>
    </w:pPr>
    <w:rPr>
      <w:rFonts w:ascii="Arial" w:cs="Arial" w:eastAsia="Arial" w:hAnsi="Arial"/>
      <w:b w:val="0"/>
      <w:bCs w:val="0"/>
      <w:i w:val="0"/>
      <w:iCs w:val="0"/>
      <w:smallCaps w:val="0"/>
      <w:strike w:val="0"/>
      <w:color w:val="000000"/>
      <w:sz w:val="56"/>
      <w:szCs w:val="56"/>
      <w:u w:val="none"/>
      <w:shd w:fill="auto" w:val="clear"/>
      <w:vertAlign w:val="baseline"/>
    </w:rPr>
  </w:style>
  <w:style w:styleId="Subtitle" w:type="paragraph">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styleId="Table1" w:type="table">
    <w:basedOn w:val="TableNormal"/>
    <w:tblPr>
      <w:tblStyleRowBandSize w:val="1"/>
      <w:tblStyleColBandSize w:val="1"/>
      <w:tblCellMar>
        <w:top w:type="dxa" w:w="0.0"/>
        <w:left w:type="dxa" w:w="115.0"/>
        <w:bottom w:type="dxa" w:w="0.0"/>
        <w:right w:type="dxa" w:w="115.0"/>
      </w:tblCellMar>
    </w:tblPr>
  </w:style>
  <w:style w:styleId="Table2" w:type="table">
    <w:basedOn w:val="TableNormal"/>
    <w:tblPr>
      <w:tblStyleRowBandSize w:val="1"/>
      <w:tblStyleColBandSize w:val="1"/>
      <w:tblCellMar>
        <w:top w:type="dxa" w:w="0.0"/>
        <w:left w:type="dxa" w:w="115.0"/>
        <w:bottom w:type="dxa" w:w="0.0"/>
        <w:right w:type="dxa" w:w="115.0"/>
      </w:tblCellMar>
    </w:tblPr>
  </w:style>
  <w:style w:styleId="Table3" w:type="table">
    <w:basedOn w:val="TableNormal"/>
    <w:tblPr>
      <w:tblStyleRowBandSize w:val="1"/>
      <w:tblStyleColBandSize w:val="1"/>
      <w:tblCellMar>
        <w:top w:type="dxa" w:w="0.0"/>
        <w:left w:type="dxa" w:w="115.0"/>
        <w:bottom w:type="dxa" w:w="0.0"/>
        <w:right w:type="dxa" w:w="115.0"/>
      </w:tblCellMar>
    </w:tblPr>
  </w:style>
  <w:style w:styleId="Table4" w:type="table">
    <w:basedOn w:val="TableNormal"/>
    <w:tblPr>
      <w:tblStyleRowBandSize w:val="1"/>
      <w:tblStyleColBandSize w:val="1"/>
      <w:tblCellMar>
        <w:top w:type="dxa" w:w="0.0"/>
        <w:left w:type="dxa" w:w="115.0"/>
        <w:bottom w:type="dxa" w:w="0.0"/>
        <w:right w:type="dxa" w:w="115.0"/>
      </w:tblCellMar>
    </w:tblPr>
  </w:style>
  <w:style w:styleId="Table5" w:type="table">
    <w:basedOn w:val="TableNormal"/>
    <w:tblPr>
      <w:tblStyleRowBandSize w:val="1"/>
      <w:tblStyleColBandSize w:val="1"/>
      <w:tblCellMar>
        <w:top w:type="dxa" w:w="0.0"/>
        <w:left w:type="dxa" w:w="115.0"/>
        <w:bottom w:type="dxa" w:w="0.0"/>
        <w:right w:type="dxa" w:w="115.0"/>
      </w:tblCellMar>
    </w:tblPr>
  </w:style>
  <w:style w:styleId="Table6" w:type="table">
    <w:basedOn w:val="TableNormal"/>
    <w:tblPr>
      <w:tblStyleRowBandSize w:val="1"/>
      <w:tblStyleColBandSize w:val="1"/>
      <w:tblCellMar>
        <w:top w:type="dxa" w:w="0.0"/>
        <w:left w:type="dxa" w:w="115.0"/>
        <w:bottom w:type="dxa" w:w="0.0"/>
        <w:right w:type="dxa" w:w="115.0"/>
      </w:tblCellMar>
    </w:tblPr>
  </w:style>
  <w:style w:styleId="Table7" w:type="table">
    <w:basedOn w:val="TableNormal"/>
    <w:tblPr>
      <w:tblStyleRowBandSize w:val="1"/>
      <w:tblStyleColBandSize w:val="1"/>
      <w:tblCellMar>
        <w:top w:type="dxa" w:w="0.0"/>
        <w:left w:type="dxa" w:w="115.0"/>
        <w:bottom w:type="dxa" w:w="0.0"/>
        <w:right w:type="dxa" w:w="115.0"/>
      </w:tblCellMar>
    </w:tblPr>
  </w:style>
  <w:style w:styleId="Table8" w:type="table">
    <w:basedOn w:val="TableNormal"/>
    <w:tblPr>
      <w:tblStyleRowBandSize w:val="1"/>
      <w:tblStyleColBandSize w:val="1"/>
      <w:tblCellMar>
        <w:top w:type="dxa" w:w="0.0"/>
        <w:left w:type="dxa" w:w="115.0"/>
        <w:bottom w:type="dxa" w:w="0.0"/>
        <w:right w:type="dxa" w:w="115.0"/>
      </w:tblCellMar>
    </w:tblPr>
  </w:style>
  <w:style w:styleId="Table9" w:type="table">
    <w:basedOn w:val="TableNormal"/>
    <w:tblPr>
      <w:tblStyleRowBandSize w:val="1"/>
      <w:tblStyleColBandSize w:val="1"/>
      <w:tblCellMar>
        <w:top w:type="dxa" w:w="0.0"/>
        <w:left w:type="dxa" w:w="115.0"/>
        <w:bottom w:type="dxa" w:w="0.0"/>
        <w:right w:type="dxa" w:w="115.0"/>
      </w:tblCellMar>
    </w:tblPr>
  </w:style>
  <w:style w:styleId="Table10" w:type="table">
    <w:basedOn w:val="TableNormal"/>
    <w:tblPr>
      <w:tblStyleRowBandSize w:val="1"/>
      <w:tblStyleColBandSize w:val="1"/>
      <w:tblCellMar>
        <w:top w:type="dxa" w:w="0.0"/>
        <w:left w:type="dxa" w:w="115.0"/>
        <w:bottom w:type="dxa" w:w="0.0"/>
        <w:right w:type="dxa" w:w="115.0"/>
      </w:tblCellMar>
    </w:tblPr>
  </w:style>
  <w:style w:styleId="Table11" w:type="table">
    <w:basedOn w:val="TableNormal"/>
    <w:tblPr>
      <w:tblStyleRowBandSize w:val="1"/>
      <w:tblStyleColBandSize w:val="1"/>
      <w:tblCellMar>
        <w:top w:type="dxa" w:w="0.0"/>
        <w:left w:type="dxa" w:w="115.0"/>
        <w:bottom w:type="dxa" w:w="0.0"/>
        <w:right w:type="dxa" w:w="115.0"/>
      </w:tblCellMar>
    </w:tblPr>
  </w:style>
  <w:style w:styleId="Table12" w:type="table">
    <w:basedOn w:val="TableNormal"/>
    <w:tblPr>
      <w:tblStyleRowBandSize w:val="1"/>
      <w:tblStyleColBandSize w:val="1"/>
      <w:tblCellMar>
        <w:top w:type="dxa" w:w="0.0"/>
        <w:left w:type="dxa" w:w="115.0"/>
        <w:bottom w:type="dxa" w:w="0.0"/>
        <w:right w:type="dxa" w:w="115.0"/>
      </w:tblCellMar>
    </w:tblPr>
  </w:style>
  <w:style w:styleId="Table13" w:type="table">
    <w:basedOn w:val="TableNormal"/>
    <w:tblPr>
      <w:tblStyleRowBandSize w:val="1"/>
      <w:tblStyleColBandSize w:val="1"/>
      <w:tblCellMar>
        <w:top w:type="dxa" w:w="0.0"/>
        <w:left w:type="dxa" w:w="115.0"/>
        <w:bottom w:type="dxa" w:w="0.0"/>
        <w:right w:type="dxa" w:w="115.0"/>
      </w:tblCellMar>
    </w:tblPr>
  </w:style>
  <w:style w:styleId="Table14" w:type="table">
    <w:basedOn w:val="TableNormal"/>
    <w:tblPr>
      <w:tblStyleRowBandSize w:val="1"/>
      <w:tblStyleColBandSize w:val="1"/>
      <w:tblCellMar>
        <w:top w:type="dxa" w:w="0.0"/>
        <w:left w:type="dxa" w:w="115.0"/>
        <w:bottom w:type="dxa" w:w="0.0"/>
        <w:right w:type="dxa" w:w="115.0"/>
      </w:tblCellMar>
    </w:tblPr>
  </w:style>
  <w:style w:styleId="Table15" w:type="table">
    <w:basedOn w:val="TableNormal"/>
    <w:tblPr>
      <w:tblStyleRowBandSize w:val="1"/>
      <w:tblStyleColBandSize w:val="1"/>
      <w:tblCellMar>
        <w:top w:type="dxa" w:w="0.0"/>
        <w:left w:type="dxa" w:w="115.0"/>
        <w:bottom w:type="dxa" w:w="0.0"/>
        <w:right w:type="dxa" w:w="115.0"/>
      </w:tblCellMar>
    </w:tblPr>
  </w:style>
  <w:style w:styleId="Table16" w:type="table">
    <w:basedOn w:val="TableNormal"/>
    <w:tblPr>
      <w:tblStyleRowBandSize w:val="1"/>
      <w:tblStyleColBandSize w:val="1"/>
      <w:tblCellMar>
        <w:top w:type="dxa" w:w="0.0"/>
        <w:left w:type="dxa" w:w="115.0"/>
        <w:bottom w:type="dxa" w:w="0.0"/>
        <w:right w:type="dxa" w:w="115.0"/>
      </w:tblCellMar>
    </w:tblPr>
  </w:style>
  <w:style w:styleId="Table17" w:type="table">
    <w:basedOn w:val="TableNormal"/>
    <w:tblPr>
      <w:tblStyleRowBandSize w:val="1"/>
      <w:tblStyleColBandSize w:val="1"/>
      <w:tblCellMar>
        <w:top w:type="dxa" w:w="0.0"/>
        <w:left w:type="dxa" w:w="115.0"/>
        <w:bottom w:type="dxa" w:w="0.0"/>
        <w:right w:type="dxa" w:w="115.0"/>
      </w:tblCellMar>
    </w:tblPr>
  </w:style>
  <w:style w:styleId="Table18" w:type="table">
    <w:basedOn w:val="TableNormal"/>
    <w:tblPr>
      <w:tblStyleRowBandSize w:val="1"/>
      <w:tblStyleColBandSize w:val="1"/>
      <w:tblCellMar>
        <w:top w:type="dxa" w:w="0.0"/>
        <w:left w:type="dxa" w:w="115.0"/>
        <w:bottom w:type="dxa" w:w="0.0"/>
        <w:right w:type="dxa" w:w="115.0"/>
      </w:tblCellMar>
    </w:tblPr>
  </w:style>
  <w:style w:styleId="Table19" w:type="table">
    <w:basedOn w:val="TableNormal"/>
    <w:tblPr>
      <w:tblStyleRowBandSize w:val="1"/>
      <w:tblStyleColBandSize w:val="1"/>
      <w:tblCellMar>
        <w:top w:type="dxa" w:w="0.0"/>
        <w:left w:type="dxa" w:w="115.0"/>
        <w:bottom w:type="dxa" w:w="0.0"/>
        <w:right w:type="dxa" w:w="115.0"/>
      </w:tblCellMar>
    </w:tblPr>
  </w:style>
  <w:style w:styleId="Table20" w:type="table">
    <w:basedOn w:val="TableNormal"/>
    <w:tblPr>
      <w:tblStyleRowBandSize w:val="1"/>
      <w:tblStyleColBandSize w:val="1"/>
      <w:tblCellMar>
        <w:top w:type="dxa" w:w="0.0"/>
        <w:left w:type="dxa" w:w="115.0"/>
        <w:bottom w:type="dxa" w:w="0.0"/>
        <w:right w:type="dxa" w:w="115.0"/>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2026-06-04T06:11:18Z</dcterms:created>
  <dcterms:modified xsi:type="dcterms:W3CDTF">2026-06-04T06:11:18Z</dcterms:modified>
</cp:coreProperties>
</file>

<file path=docProps/custom.xml><?xml version="1.0" encoding="utf-8"?>
<Properties xmlns="http://schemas.openxmlformats.org/officeDocument/2006/custom-properties" xmlns:vt="http://schemas.openxmlformats.org/officeDocument/2006/docPropsVTypes"/>
</file>