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a8f8b9363bae08724c62872c25351636b7c823"/>
    <w:p>
      <w:pPr>
        <w:pStyle w:val="Heading1"/>
      </w:pPr>
      <w:r>
        <w:t xml:space="preserve">FI-W15 - Cardiology Consultation Documentation</w:t>
      </w:r>
    </w:p>
    <w:p>
      <w:pPr>
        <w:pStyle w:val="FirstParagraph"/>
      </w:pPr>
      <w:r>
        <w:t xml:space="preserve">File ID: FI-W15</w:t>
      </w:r>
    </w:p>
    <w:p>
      <w:pPr>
        <w:pStyle w:val="BodyText"/>
      </w:pPr>
      <w:r>
        <w:t xml:space="preserve">File Type: Cardiology consultation documentation</w:t>
      </w:r>
    </w:p>
    <w:p>
      <w:pPr>
        <w:pStyle w:val="BodyText"/>
      </w:pPr>
      <w:r>
        <w:t xml:space="preserve">Level: World-Level</w:t>
      </w:r>
    </w:p>
    <w:p>
      <w:pPr>
        <w:pStyle w:val="BodyText"/>
      </w:pPr>
      <w:r>
        <w:t xml:space="preserve">Approximate Date / Anchor: HD2-HD6, strongest HD4-HD6</w:t>
      </w:r>
    </w:p>
    <w:p>
      <w:pPr>
        <w:pStyle w:val="BodyText"/>
      </w:pPr>
      <w:r>
        <w:t xml:space="preserve">Author / Source: Dr. Maris Caldrane / Cardiology</w:t>
      </w:r>
    </w:p>
    <w:p>
      <w:pPr>
        <w:pStyle w:val="BodyText"/>
      </w:pPr>
      <w:r>
        <w:t xml:space="preserve">Tool / Origin: Writer-created synthetic consultant file</w:t>
      </w:r>
    </w:p>
    <w:p>
      <w:pPr>
        <w:pStyle w:val="BodyText"/>
      </w:pPr>
      <w:r>
        <w:t xml:space="preserve">Purpose: Represent HFrEF/CAD protective therapy, GDMT restart concerns, and decompensation/readmission risk.</w:t>
      </w:r>
    </w:p>
    <w:p>
      <w:pPr>
        <w:pStyle w:val="BodyText"/>
      </w:pPr>
      <w:r>
        <w:t xml:space="preserve">Supported Workflow(s) / Trap(s) / Friction(s): Discharge Medication Reconciliation; Interdisciplinary Care Plan Development and Documentation; Traps #2, #5; Cardiology vs Nephrology</w:t>
      </w:r>
    </w:p>
    <w:p>
      <w:pPr>
        <w:pStyle w:val="BodyText"/>
      </w:pPr>
      <w:r>
        <w:t xml:space="preserve">World Boundary: contains only information available before world close on 05/23/2026 at 18:00. It contains no completed discharge outcome, post-discharge follow-up, task framing, expected output, golden response, or grader guidance.</w:t>
      </w:r>
    </w:p>
    <w:bookmarkStart w:id="9" w:name="cardiology-consultation-documentation"/>
    <w:p>
      <w:pPr>
        <w:pStyle w:val="Heading2"/>
      </w:pPr>
      <w:r>
        <w:t xml:space="preserve">Cardiology Consultation Documentation</w:t>
      </w:r>
    </w:p>
    <w:p>
      <w:pPr>
        <w:pStyle w:val="FirstParagraph"/>
      </w:pPr>
      <w:r>
        <w:t xml:space="preserve">Patient: Korvin Merrow</w:t>
      </w:r>
    </w:p>
    <w:p>
      <w:pPr>
        <w:pStyle w:val="BodyText"/>
      </w:pPr>
      <w:r>
        <w:t xml:space="preserve">Consultant: Dr. Maris Caldrane</w:t>
      </w:r>
    </w:p>
    <w:p>
      <w:pPr>
        <w:pStyle w:val="BodyText"/>
      </w:pPr>
      <w:r>
        <w:t xml:space="preserve">Service: Cardiology</w:t>
      </w:r>
    </w:p>
    <w:p>
      <w:pPr>
        <w:pStyle w:val="BodyText"/>
      </w:pPr>
      <w:r>
        <w:t xml:space="preserve">Consult window: HD2-HD6, with active follow-up through 05/23/2026 before 18:00</w:t>
      </w:r>
    </w:p>
    <w:p>
      <w:pPr>
        <w:pStyle w:val="BodyText"/>
      </w:pPr>
      <w:r>
        <w:t xml:space="preserve">Reason for consultation: HFrEF/CAD medication management during recovery from suspected infection physiology, AKI on CKD stage 3, low-normal blood pressure, and discharge planning.</w:t>
      </w:r>
    </w:p>
    <w:bookmarkEnd w:id="9"/>
    <w:bookmarkStart w:id="10" w:name="X45b04d50e846858720b3c20cf45dfcda5222d46"/>
    <w:p>
      <w:pPr>
        <w:pStyle w:val="Heading2"/>
      </w:pPr>
      <w:r>
        <w:t xml:space="preserve">Initial Cardiology Impression - HD2 / 05/19/2026</w:t>
      </w:r>
    </w:p>
    <w:p>
      <w:pPr>
        <w:pStyle w:val="FirstParagraph"/>
      </w:pPr>
      <w:r>
        <w:t xml:space="preserve">Korvin has established HFrEF and CAD with remote PCI/stent history. His outpatient medication pattern supports chronic therapy directed at HFrEF/CAD risk reduction, including sacubitril/valsartan, carvedilol, diuretic therapy, spironolactone, empagliflozin, aspirin, and atorvastatin.</w:t>
      </w:r>
    </w:p>
    <w:p>
      <w:pPr>
        <w:pStyle w:val="BodyText"/>
      </w:pPr>
      <w:r>
        <w:t xml:space="preserve">During the acute admission, temporary holds or cautious administration are understandable given AKI, poor oral intake, and hemodynamic vulnerability. Cardiology’s concern is that temporary acute-illness holds can become unintended long-term omissions if not actively reassessed.</w:t>
      </w:r>
    </w:p>
    <w:p>
      <w:pPr>
        <w:pStyle w:val="BodyText"/>
      </w:pPr>
      <w:r>
        <w:t xml:space="preserve">Cardiology interpretation:</w:t>
      </w:r>
    </w:p>
    <w:p>
      <w:pPr>
        <w:pStyle w:val="Compact"/>
        <w:numPr>
          <w:ilvl w:val="0"/>
          <w:numId w:val="1001"/>
        </w:numPr>
      </w:pPr>
      <w:r>
        <w:t xml:space="preserve">admission medication holds are not evidence that chronic HFrEF/CAD therapies are no longer indicated;</w:t>
      </w:r>
    </w:p>
    <w:p>
      <w:pPr>
        <w:pStyle w:val="Compact"/>
        <w:numPr>
          <w:ilvl w:val="0"/>
          <w:numId w:val="1001"/>
        </w:numPr>
      </w:pPr>
      <w:r>
        <w:t xml:space="preserve">aspirin and atorvastatin remain important continuity medications unless contraindications arise;</w:t>
      </w:r>
    </w:p>
    <w:p>
      <w:pPr>
        <w:pStyle w:val="Compact"/>
        <w:numPr>
          <w:ilvl w:val="0"/>
          <w:numId w:val="1001"/>
        </w:numPr>
      </w:pPr>
      <w:r>
        <w:t xml:space="preserve">carvedilol and sacubitril/valsartan require hemodynamic and renal reassessment rather than automatic discontinuation;</w:t>
      </w:r>
    </w:p>
    <w:p>
      <w:pPr>
        <w:pStyle w:val="Compact"/>
        <w:numPr>
          <w:ilvl w:val="0"/>
          <w:numId w:val="1001"/>
        </w:numPr>
      </w:pPr>
      <w:r>
        <w:t xml:space="preserve">spironolactone and empagliflozin require renal, potassium, intake, and acute-illness review;</w:t>
      </w:r>
    </w:p>
    <w:p>
      <w:pPr>
        <w:pStyle w:val="Compact"/>
        <w:numPr>
          <w:ilvl w:val="0"/>
          <w:numId w:val="1001"/>
        </w:numPr>
      </w:pPr>
      <w:r>
        <w:t xml:space="preserve">diuretic strategy should be individualized to volume status rather than copied from home dosing or admission holds.</w:t>
      </w:r>
    </w:p>
    <w:p>
      <w:pPr>
        <w:pStyle w:val="FirstParagraph"/>
      </w:pPr>
      <w:r>
        <w:t xml:space="preserve">This consultation does not create a final medication restart plan.</w:t>
      </w:r>
    </w:p>
    <w:bookmarkEnd w:id="10"/>
    <w:bookmarkStart w:id="11" w:name="follow-up-review---hd4-05212026"/>
    <w:p>
      <w:pPr>
        <w:pStyle w:val="Heading2"/>
      </w:pPr>
      <w:r>
        <w:t xml:space="preserve">Follow-Up Review - HD4 / 05/21/2026</w:t>
      </w:r>
    </w:p>
    <w:p>
      <w:pPr>
        <w:pStyle w:val="FirstParagraph"/>
      </w:pPr>
      <w:r>
        <w:t xml:space="preserve">The objective trend source shows meaningful improvement from admission. Creatinine has improved from 2.62 mg/dL on HD1 to 1.98 mg/dL on HD4, potassium from 5.1 mmol/L to 4.6 mmol/L, WBC trend is improving, and hemodynamics are more stable than at presentation.</w:t>
      </w:r>
    </w:p>
    <w:p>
      <w:pPr>
        <w:pStyle w:val="BodyText"/>
      </w:pPr>
      <w:r>
        <w:t xml:space="preserve">These trends support reassessment of the chronic cardiovascular regimen.</w:t>
      </w:r>
    </w:p>
    <w:p>
      <w:pPr>
        <w:pStyle w:val="BodyText"/>
      </w:pPr>
      <w:r>
        <w:t xml:space="preserve">They do not prove that every medication should be restarted immediately.</w:t>
      </w:r>
    </w:p>
    <w:p>
      <w:pPr>
        <w:pStyle w:val="BodyText"/>
      </w:pPr>
      <w:r>
        <w:t xml:space="preserve">Cardiology’s main concern is avoidable loss of HFrEF/CAD protection:</w:t>
      </w:r>
    </w:p>
    <w:p>
      <w:pPr>
        <w:pStyle w:val="Compact"/>
        <w:numPr>
          <w:ilvl w:val="0"/>
          <w:numId w:val="1002"/>
        </w:numPr>
      </w:pPr>
      <w:r>
        <w:t xml:space="preserve">prolonged interruption of guideline-directed therapy can increase decompensation risk;</w:t>
      </w:r>
    </w:p>
    <w:p>
      <w:pPr>
        <w:pStyle w:val="Compact"/>
        <w:numPr>
          <w:ilvl w:val="0"/>
          <w:numId w:val="1002"/>
        </w:numPr>
      </w:pPr>
      <w:r>
        <w:t xml:space="preserve">a patient who is clinically improving should have a forward plan for reintroduction or documented reasons for continued holding;</w:t>
      </w:r>
    </w:p>
    <w:p>
      <w:pPr>
        <w:pStyle w:val="Compact"/>
        <w:numPr>
          <w:ilvl w:val="0"/>
          <w:numId w:val="1002"/>
        </w:numPr>
      </w:pPr>
      <w:r>
        <w:t xml:space="preserve">“held during AKI”</w:t>
      </w:r>
      <w:r>
        <w:t xml:space="preserve"> </w:t>
      </w:r>
      <w:r>
        <w:t xml:space="preserve">should not remain the only medication logic once the AKI trend improves;</w:t>
      </w:r>
    </w:p>
    <w:p>
      <w:pPr>
        <w:pStyle w:val="Compact"/>
        <w:numPr>
          <w:ilvl w:val="0"/>
          <w:numId w:val="1002"/>
        </w:numPr>
      </w:pPr>
      <w:r>
        <w:t xml:space="preserve">discharge planning should not leave ambiguity about which medications are intentionally held versus temporarily deferred.</w:t>
      </w:r>
    </w:p>
    <w:p>
      <w:pPr>
        <w:pStyle w:val="FirstParagraph"/>
      </w:pPr>
      <w:r>
        <w:t xml:space="preserve">Cardiology recognizes nephrology’s concern that renal recovery, potassium, blood pressure, and intake remain relevant. The disagreement is about timing and sequencing, not whether renal safety matters.</w:t>
      </w:r>
    </w:p>
    <w:bookmarkEnd w:id="11"/>
    <w:bookmarkStart w:id="12" w:name="X47e1a93f8459f1b7d774c7a16bf0ecf1ac77b7f"/>
    <w:p>
      <w:pPr>
        <w:pStyle w:val="Heading2"/>
      </w:pPr>
      <w:r>
        <w:t xml:space="preserve">HD5-HD6 Pre-Close Addendum - 05/22/2026-05/23/2026 Before 18:00</w:t>
      </w:r>
    </w:p>
    <w:p>
      <w:pPr>
        <w:pStyle w:val="FirstParagraph"/>
      </w:pPr>
      <w:r>
        <w:t xml:space="preserve">By HD5-HD6, Korvin is medically improved enough that discharge planning is plausible. FI-W12 shows creatinine near the outpatient baseline range by HD6 before world close, potassium 4.4 mmol/L, improved WBC trend, and stable floor hemodynamic pattern. FI-W13 shows that chronic HFrEF/CAD medications have been held, cautiously administered, or reassessed rather than simply continued.</w:t>
      </w:r>
    </w:p>
    <w:p>
      <w:pPr>
        <w:pStyle w:val="BodyText"/>
      </w:pPr>
      <w:r>
        <w:t xml:space="preserve">Cardiology recommendation frame:</w:t>
      </w:r>
    </w:p>
    <w:p>
      <w:pPr>
        <w:pStyle w:val="Compact"/>
        <w:numPr>
          <w:ilvl w:val="0"/>
          <w:numId w:val="1003"/>
        </w:numPr>
      </w:pPr>
      <w:r>
        <w:t xml:space="preserve">continue chronic CAD protection such as aspirin and atorvastatin unless a contraindication exists;</w:t>
      </w:r>
    </w:p>
    <w:p>
      <w:pPr>
        <w:pStyle w:val="Compact"/>
        <w:numPr>
          <w:ilvl w:val="0"/>
          <w:numId w:val="1003"/>
        </w:numPr>
      </w:pPr>
      <w:r>
        <w:t xml:space="preserve">reassess carvedilol if blood pressure and symptoms allow, because beta-blocker omission may increase cardiovascular risk;</w:t>
      </w:r>
    </w:p>
    <w:p>
      <w:pPr>
        <w:pStyle w:val="Compact"/>
        <w:numPr>
          <w:ilvl w:val="0"/>
          <w:numId w:val="1003"/>
        </w:numPr>
      </w:pPr>
      <w:r>
        <w:t xml:space="preserve">consider cautious reintroduction planning for sacubitril/valsartan if renal function, potassium, blood pressure, and monitoring feasibility support it;</w:t>
      </w:r>
    </w:p>
    <w:p>
      <w:pPr>
        <w:pStyle w:val="Compact"/>
        <w:numPr>
          <w:ilvl w:val="0"/>
          <w:numId w:val="1003"/>
        </w:numPr>
      </w:pPr>
      <w:r>
        <w:t xml:space="preserve">do not restart spironolactone or empagliflozin reflexively without renal, potassium, intake, and acute-illness context;</w:t>
      </w:r>
    </w:p>
    <w:p>
      <w:pPr>
        <w:pStyle w:val="Compact"/>
        <w:numPr>
          <w:ilvl w:val="0"/>
          <w:numId w:val="1003"/>
        </w:numPr>
      </w:pPr>
      <w:r>
        <w:t xml:space="preserve">avoid discharging with vague</w:t>
      </w:r>
      <w:r>
        <w:t xml:space="preserve"> </w:t>
      </w:r>
      <w:r>
        <w:t xml:space="preserve">“hold all HF meds”</w:t>
      </w:r>
      <w:r>
        <w:t xml:space="preserve"> </w:t>
      </w:r>
      <w:r>
        <w:t xml:space="preserve">language unless the rationale and follow-up plan are explicit.</w:t>
      </w:r>
    </w:p>
    <w:p>
      <w:pPr>
        <w:pStyle w:val="FirstParagraph"/>
      </w:pPr>
      <w:r>
        <w:t xml:space="preserve">This is not a final discharge medication list. It is a specialty recommendation requiring hospitalist synthesis.</w:t>
      </w:r>
    </w:p>
    <w:bookmarkEnd w:id="12"/>
    <w:bookmarkStart w:id="13" w:name="medication-reconciliation-interpretation"/>
    <w:p>
      <w:pPr>
        <w:pStyle w:val="Heading2"/>
      </w:pPr>
      <w:r>
        <w:t xml:space="preserve">Medication-Reconciliation Interpretation</w:t>
      </w:r>
    </w:p>
    <w:p>
      <w:pPr>
        <w:pStyle w:val="FirstParagraph"/>
      </w:pPr>
      <w:r>
        <w:t xml:space="preserve">The refill-history report confirms chronic outpatient cardiovascular medication exposure. The MAR/action source confirms inpatient holds and reassessments. Neither source alone determines discharge appropriateness.</w:t>
      </w:r>
    </w:p>
    <w:p>
      <w:pPr>
        <w:pStyle w:val="BodyText"/>
      </w:pPr>
      <w:r>
        <w:t xml:space="preserve">Cardiology-specific interpretation:</w:t>
      </w:r>
    </w:p>
    <w:p>
      <w:pPr>
        <w:pStyle w:val="Compact"/>
        <w:numPr>
          <w:ilvl w:val="0"/>
          <w:numId w:val="1004"/>
        </w:numPr>
      </w:pPr>
      <w:r>
        <w:t xml:space="preserve">pharmacy fill history supports chronic indication and prior use;</w:t>
      </w:r>
    </w:p>
    <w:p>
      <w:pPr>
        <w:pStyle w:val="Compact"/>
        <w:numPr>
          <w:ilvl w:val="0"/>
          <w:numId w:val="1004"/>
        </w:numPr>
      </w:pPr>
      <w:r>
        <w:t xml:space="preserve">MAR holds support acute-illness safety decisions;</w:t>
      </w:r>
    </w:p>
    <w:p>
      <w:pPr>
        <w:pStyle w:val="Compact"/>
        <w:numPr>
          <w:ilvl w:val="0"/>
          <w:numId w:val="1004"/>
        </w:numPr>
      </w:pPr>
      <w:r>
        <w:t xml:space="preserve">objective trends support reassessment as the patient improves;</w:t>
      </w:r>
    </w:p>
    <w:p>
      <w:pPr>
        <w:pStyle w:val="Compact"/>
        <w:numPr>
          <w:ilvl w:val="0"/>
          <w:numId w:val="1004"/>
        </w:numPr>
      </w:pPr>
      <w:r>
        <w:t xml:space="preserve">nephrology recommendations are necessary context for timing;</w:t>
      </w:r>
    </w:p>
    <w:p>
      <w:pPr>
        <w:pStyle w:val="Compact"/>
        <w:numPr>
          <w:ilvl w:val="0"/>
          <w:numId w:val="1004"/>
        </w:numPr>
      </w:pPr>
      <w:r>
        <w:t xml:space="preserve">discharge safety and medication-management capacity remain relevant because a complex regimen can fail outside the hospital even if clinically indicated.</w:t>
      </w:r>
    </w:p>
    <w:bookmarkEnd w:id="13"/>
    <w:bookmarkStart w:id="14" w:name="relationship-to-nephrology"/>
    <w:p>
      <w:pPr>
        <w:pStyle w:val="Heading2"/>
      </w:pPr>
      <w:r>
        <w:t xml:space="preserve">Relationship To Nephrology</w:t>
      </w:r>
    </w:p>
    <w:p>
      <w:pPr>
        <w:pStyle w:val="FirstParagraph"/>
      </w:pPr>
      <w:r>
        <w:t xml:space="preserve">Nephrology’s caution is clinically reasonable. Korvin had AKI on CKD, potassium risk, poor intake, and hemodynamic vulnerability. Cardiology does not recommend ignoring those risks.</w:t>
      </w:r>
    </w:p>
    <w:p>
      <w:pPr>
        <w:pStyle w:val="BodyText"/>
      </w:pPr>
      <w:r>
        <w:t xml:space="preserve">Cardiology’s concern is that renal improvement creates an obligation to decide, sequence, and document a cardiovascular medication strategy rather than let early holds persist by inertia.</w:t>
      </w:r>
    </w:p>
    <w:p>
      <w:pPr>
        <w:pStyle w:val="BodyText"/>
      </w:pPr>
      <w:r>
        <w:t xml:space="preserve">Neither cardiology nor nephrology should be treated as the automatic final answer.</w:t>
      </w:r>
    </w:p>
    <w:p>
      <w:pPr>
        <w:pStyle w:val="BodyText"/>
      </w:pPr>
      <w:r>
        <w:t xml:space="preserve">The primary team should synthesize:</w:t>
      </w:r>
    </w:p>
    <w:p>
      <w:pPr>
        <w:pStyle w:val="Compact"/>
        <w:numPr>
          <w:ilvl w:val="0"/>
          <w:numId w:val="1005"/>
        </w:numPr>
      </w:pPr>
      <w:r>
        <w:t xml:space="preserve">renal recovery and potassium trajectory;</w:t>
      </w:r>
    </w:p>
    <w:p>
      <w:pPr>
        <w:pStyle w:val="Compact"/>
        <w:numPr>
          <w:ilvl w:val="0"/>
          <w:numId w:val="1005"/>
        </w:numPr>
      </w:pPr>
      <w:r>
        <w:t xml:space="preserve">blood pressure and symptoms;</w:t>
      </w:r>
    </w:p>
    <w:p>
      <w:pPr>
        <w:pStyle w:val="Compact"/>
        <w:numPr>
          <w:ilvl w:val="0"/>
          <w:numId w:val="1005"/>
        </w:numPr>
      </w:pPr>
      <w:r>
        <w:t xml:space="preserve">HFrEF/CAD long-term risk;</w:t>
      </w:r>
    </w:p>
    <w:p>
      <w:pPr>
        <w:pStyle w:val="Compact"/>
        <w:numPr>
          <w:ilvl w:val="0"/>
          <w:numId w:val="1005"/>
        </w:numPr>
      </w:pPr>
      <w:r>
        <w:t xml:space="preserve">inpatient medication actions;</w:t>
      </w:r>
    </w:p>
    <w:p>
      <w:pPr>
        <w:pStyle w:val="Compact"/>
        <w:numPr>
          <w:ilvl w:val="0"/>
          <w:numId w:val="1005"/>
        </w:numPr>
      </w:pPr>
      <w:r>
        <w:t xml:space="preserve">discharge support and monitoring feasibility;</w:t>
      </w:r>
    </w:p>
    <w:p>
      <w:pPr>
        <w:pStyle w:val="Compact"/>
        <w:numPr>
          <w:ilvl w:val="0"/>
          <w:numId w:val="1005"/>
        </w:numPr>
      </w:pPr>
      <w:r>
        <w:t xml:space="preserve">family and functional concerns affecting medication safety.</w:t>
      </w:r>
    </w:p>
    <w:bookmarkEnd w:id="14"/>
    <w:bookmarkStart w:id="15" w:name="assessment"/>
    <w:p>
      <w:pPr>
        <w:pStyle w:val="Heading2"/>
      </w:pPr>
      <w:r>
        <w:t xml:space="preserve">Assessment</w:t>
      </w:r>
    </w:p>
    <w:p>
      <w:pPr>
        <w:pStyle w:val="FirstParagraph"/>
      </w:pPr>
      <w:r>
        <w:t xml:space="preserve">HFrEF/CAD protective therapy remains important. The patient is improving enough that medication reintroduction planning should be deliberate. The final plan remains timing-sensitive and must incorporate nephrology’s renal/hemodynamic concerns.</w:t>
      </w:r>
    </w:p>
    <w:bookmarkEnd w:id="15"/>
    <w:bookmarkStart w:id="16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This cardiology file is a consultant interpretation. It is not a discharge summary, final medication reconciliation, final disposition decision, or answer file. It does not override attending synthesis, nephrology reasoning, MAR evidence, objective trends, functional evidence, family concern, or future discharge-facing sources.</w:t>
      </w:r>
    </w:p>
    <w:bookmarkEnd w:id="16"/>
    <w:bookmarkEnd w:id="17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2026-06-04T06:11:19Z</dcterms:created>
  <dcterms:modified xsi:type="dcterms:W3CDTF">2026-06-04T06:11:19Z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