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e7f98b1aae8fa9b30bfd3e183dbd0aae859b68"/>
    <w:p>
      <w:pPr>
        <w:pStyle w:val="Heading1"/>
      </w:pPr>
      <w:r>
        <w:t xml:space="preserve">FI-W21 - Case Management / Social Work Discharge-Planning Note</w:t>
      </w:r>
    </w:p>
    <w:p>
      <w:pPr>
        <w:pStyle w:val="FirstParagraph"/>
      </w:pPr>
      <w:r>
        <w:t xml:space="preserve">File ID: FI-W21</w:t>
      </w:r>
    </w:p>
    <w:p>
      <w:pPr>
        <w:pStyle w:val="BodyText"/>
      </w:pPr>
      <w:r>
        <w:t xml:space="preserve">File Type: Case Management / Social Work discharge-planning note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HD5-HD6 through 05/23/2026 18:00</w:t>
      </w:r>
    </w:p>
    <w:p>
      <w:pPr>
        <w:pStyle w:val="BodyText"/>
      </w:pPr>
      <w:r>
        <w:t xml:space="preserve">Author / Source: Case Management / Social Work</w:t>
      </w:r>
    </w:p>
    <w:p>
      <w:pPr>
        <w:pStyle w:val="BodyText"/>
      </w:pPr>
      <w:r>
        <w:t xml:space="preserve">Tool / Origin: Writer-created synthetic chart file</w:t>
      </w:r>
    </w:p>
    <w:p>
      <w:pPr>
        <w:pStyle w:val="BodyText"/>
      </w:pPr>
      <w:r>
        <w:t xml:space="preserve">Purpose: Establish services, home support, caregiver capacity, equipment or placement considerations, and transition logistics.</w:t>
      </w:r>
    </w:p>
    <w:p>
      <w:pPr>
        <w:pStyle w:val="BodyText"/>
      </w:pPr>
      <w:r>
        <w:t xml:space="preserve">Supported Workflow(s) / Trap(s) / Friction(s): Discharge Planning Documentation; Trap #5; Trap #3 secondary; Family vs Primary Team</w:t>
      </w:r>
    </w:p>
    <w:p>
      <w:pPr>
        <w:pStyle w:val="BodyText"/>
      </w:pPr>
      <w:r>
        <w:t xml:space="preserve">World Boundary: contains only case management and social work information available through 05/23/2026 at 18:00. It contains no completed discharge outcome, post-discharge follow-up, task framing, expected output, golden response, or grader guidance.</w:t>
      </w:r>
    </w:p>
    <w:bookmarkStart w:id="9" w:name="case-management-social-work-note"/>
    <w:p>
      <w:pPr>
        <w:pStyle w:val="Heading2"/>
      </w:pPr>
      <w:r>
        <w:t xml:space="preserve">Case Management / Social Work Note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Documentation window: HD5-HD6 before world close.</w:t>
      </w:r>
    </w:p>
    <w:p>
      <w:pPr>
        <w:pStyle w:val="BodyText"/>
      </w:pPr>
      <w:r>
        <w:t xml:space="preserve">This source supports discharge logistics and transition planning. It is not a final disposition decision, discharge order, discharge summary, or answer file.</w:t>
      </w:r>
    </w:p>
    <w:bookmarkEnd w:id="9"/>
    <w:bookmarkStart w:id="10" w:name="referral-reason"/>
    <w:p>
      <w:pPr>
        <w:pStyle w:val="Heading2"/>
      </w:pPr>
      <w:r>
        <w:t xml:space="preserve">Referral Reason</w:t>
      </w:r>
    </w:p>
    <w:p>
      <w:pPr>
        <w:pStyle w:val="FirstParagraph"/>
      </w:pPr>
      <w:r>
        <w:t xml:space="preserve">Case Management / Social Work engaged because discharge planning became plausible as Korvin improved medically, while functional status, medication complexity, family support, and follow-up feasibility remained active questions.</w:t>
      </w:r>
    </w:p>
    <w:p>
      <w:pPr>
        <w:pStyle w:val="BodyText"/>
      </w:pPr>
      <w:r>
        <w:t xml:space="preserve">Relevant context from chart:</w:t>
      </w:r>
    </w:p>
    <w:p>
      <w:pPr>
        <w:pStyle w:val="Compact"/>
        <w:numPr>
          <w:ilvl w:val="0"/>
          <w:numId w:val="1001"/>
        </w:numPr>
      </w:pPr>
      <w:r>
        <w:t xml:space="preserve">family reports meaningful deviation from baseline;</w:t>
      </w:r>
    </w:p>
    <w:p>
      <w:pPr>
        <w:pStyle w:val="Compact"/>
        <w:numPr>
          <w:ilvl w:val="0"/>
          <w:numId w:val="1001"/>
        </w:numPr>
      </w:pPr>
      <w:r>
        <w:t xml:space="preserve">PT/OT and nursing observations suggest improvement but not a clean independent baseline;</w:t>
      </w:r>
    </w:p>
    <w:p>
      <w:pPr>
        <w:pStyle w:val="Compact"/>
        <w:numPr>
          <w:ilvl w:val="0"/>
          <w:numId w:val="1001"/>
        </w:numPr>
      </w:pPr>
      <w:r>
        <w:t xml:space="preserve">medication plan remains complex because renal, cardiac, steroid, and diabetes issues require synthesis;</w:t>
      </w:r>
    </w:p>
    <w:p>
      <w:pPr>
        <w:pStyle w:val="Compact"/>
        <w:numPr>
          <w:ilvl w:val="0"/>
          <w:numId w:val="1001"/>
        </w:numPr>
      </w:pPr>
      <w:r>
        <w:t xml:space="preserve">family wants clear instructions and support planning if discharge proceeds.</w:t>
      </w:r>
    </w:p>
    <w:bookmarkEnd w:id="10"/>
    <w:bookmarkStart w:id="11" w:name="home-support-context"/>
    <w:p>
      <w:pPr>
        <w:pStyle w:val="Heading2"/>
      </w:pPr>
      <w:r>
        <w:t xml:space="preserve">Home / Support Context</w:t>
      </w:r>
    </w:p>
    <w:p>
      <w:pPr>
        <w:pStyle w:val="FirstParagraph"/>
      </w:pPr>
      <w:r>
        <w:t xml:space="preserve">Korvin lives with family. Family is involved and provides oversight for medication routines. Mara Merrow is engaged and asks appropriate questions.</w:t>
      </w:r>
    </w:p>
    <w:p>
      <w:pPr>
        <w:pStyle w:val="BodyText"/>
      </w:pPr>
      <w:r>
        <w:t xml:space="preserve">Support factors:</w:t>
      </w:r>
    </w:p>
    <w:p>
      <w:pPr>
        <w:pStyle w:val="Compact"/>
        <w:numPr>
          <w:ilvl w:val="0"/>
          <w:numId w:val="1002"/>
        </w:numPr>
      </w:pPr>
      <w:r>
        <w:t xml:space="preserve">family presence is available but schedule and hands-on capacity require clarification;</w:t>
      </w:r>
    </w:p>
    <w:p>
      <w:pPr>
        <w:pStyle w:val="Compact"/>
        <w:numPr>
          <w:ilvl w:val="0"/>
          <w:numId w:val="1002"/>
        </w:numPr>
      </w:pPr>
      <w:r>
        <w:t xml:space="preserve">family can help with transportation if timing is coordinated;</w:t>
      </w:r>
    </w:p>
    <w:p>
      <w:pPr>
        <w:pStyle w:val="Compact"/>
        <w:numPr>
          <w:ilvl w:val="0"/>
          <w:numId w:val="1002"/>
        </w:numPr>
      </w:pPr>
      <w:r>
        <w:t xml:space="preserve">home medication routine is already complex;</w:t>
      </w:r>
    </w:p>
    <w:p>
      <w:pPr>
        <w:pStyle w:val="Compact"/>
        <w:numPr>
          <w:ilvl w:val="0"/>
          <w:numId w:val="1002"/>
        </w:numPr>
      </w:pPr>
      <w:r>
        <w:t xml:space="preserve">patient may need early supervision with new or changed instructions;</w:t>
      </w:r>
    </w:p>
    <w:p>
      <w:pPr>
        <w:pStyle w:val="Compact"/>
        <w:numPr>
          <w:ilvl w:val="0"/>
          <w:numId w:val="1002"/>
        </w:numPr>
      </w:pPr>
      <w:r>
        <w:t xml:space="preserve">outpatient follow-up coordination will matter because multiple specialties and primary care may be involved.</w:t>
      </w:r>
    </w:p>
    <w:p>
      <w:pPr>
        <w:pStyle w:val="FirstParagraph"/>
      </w:pPr>
      <w:r>
        <w:t xml:space="preserve">This support context makes home planning plausible, but not automatic.</w:t>
      </w:r>
    </w:p>
    <w:bookmarkEnd w:id="11"/>
    <w:bookmarkStart w:id="12" w:name="services-equipment-discussion"/>
    <w:p>
      <w:pPr>
        <w:pStyle w:val="Heading2"/>
      </w:pPr>
      <w:r>
        <w:t xml:space="preserve">Services / Equipment Discussion</w:t>
      </w:r>
    </w:p>
    <w:p>
      <w:pPr>
        <w:pStyle w:val="FirstParagraph"/>
      </w:pPr>
      <w:r>
        <w:t xml:space="preserve">Case management discussed transition supports with the interdisciplinary team.</w:t>
      </w:r>
    </w:p>
    <w:p>
      <w:pPr>
        <w:pStyle w:val="BodyText"/>
      </w:pPr>
      <w:r>
        <w:t xml:space="preserve">Items under discussion before world close:</w:t>
      </w:r>
    </w:p>
    <w:p>
      <w:pPr>
        <w:pStyle w:val="Compact"/>
        <w:numPr>
          <w:ilvl w:val="0"/>
          <w:numId w:val="1003"/>
        </w:numPr>
      </w:pPr>
      <w:r>
        <w:t xml:space="preserve">home health nursing for medication review or early monitoring if eligible and accepted;</w:t>
      </w:r>
    </w:p>
    <w:p>
      <w:pPr>
        <w:pStyle w:val="Compact"/>
        <w:numPr>
          <w:ilvl w:val="0"/>
          <w:numId w:val="1003"/>
        </w:numPr>
      </w:pPr>
      <w:r>
        <w:t xml:space="preserve">home PT/OT or outpatient therapy depending on final functional plan;</w:t>
      </w:r>
    </w:p>
    <w:p>
      <w:pPr>
        <w:pStyle w:val="Compact"/>
        <w:numPr>
          <w:ilvl w:val="0"/>
          <w:numId w:val="1003"/>
        </w:numPr>
      </w:pPr>
      <w:r>
        <w:t xml:space="preserve">assistive device consistency, including whether cane use remains sufficient or whether therapy recommends another device;</w:t>
      </w:r>
    </w:p>
    <w:p>
      <w:pPr>
        <w:pStyle w:val="Compact"/>
        <w:numPr>
          <w:ilvl w:val="0"/>
          <w:numId w:val="1003"/>
        </w:numPr>
      </w:pPr>
      <w:r>
        <w:t xml:space="preserve">family education around medication changes and warning signs;</w:t>
      </w:r>
    </w:p>
    <w:p>
      <w:pPr>
        <w:pStyle w:val="Compact"/>
        <w:numPr>
          <w:ilvl w:val="0"/>
          <w:numId w:val="1003"/>
        </w:numPr>
      </w:pPr>
      <w:r>
        <w:t xml:space="preserve">follow-up appointment feasibility with primary care and relevant specialists;</w:t>
      </w:r>
    </w:p>
    <w:p>
      <w:pPr>
        <w:pStyle w:val="Compact"/>
        <w:numPr>
          <w:ilvl w:val="0"/>
          <w:numId w:val="1003"/>
        </w:numPr>
      </w:pPr>
      <w:r>
        <w:t xml:space="preserve">transportation for follow-up;</w:t>
      </w:r>
    </w:p>
    <w:p>
      <w:pPr>
        <w:pStyle w:val="Compact"/>
        <w:numPr>
          <w:ilvl w:val="0"/>
          <w:numId w:val="1003"/>
        </w:numPr>
      </w:pPr>
      <w:r>
        <w:t xml:space="preserve">pharmacy access and medication pickup logistics.</w:t>
      </w:r>
    </w:p>
    <w:p>
      <w:pPr>
        <w:pStyle w:val="FirstParagraph"/>
      </w:pPr>
      <w:r>
        <w:t xml:space="preserve">No service plan is documented here as complete, accepted, authorized, or sufficient by itself.</w:t>
      </w:r>
    </w:p>
    <w:bookmarkEnd w:id="12"/>
    <w:bookmarkStart w:id="13" w:name="family-team-friction"/>
    <w:p>
      <w:pPr>
        <w:pStyle w:val="Heading2"/>
      </w:pPr>
      <w:r>
        <w:t xml:space="preserve">Family / Team Friction</w:t>
      </w:r>
    </w:p>
    <w:p>
      <w:pPr>
        <w:pStyle w:val="FirstParagraph"/>
      </w:pPr>
      <w:r>
        <w:t xml:space="preserve">Family concern is documented as meaningful and specific. Mara is not simply objecting to discharge; she is asking whether Korvin’s current function, cognition, and medication-management reliability match the home environment.</w:t>
      </w:r>
    </w:p>
    <w:p>
      <w:pPr>
        <w:pStyle w:val="BodyText"/>
      </w:pPr>
      <w:r>
        <w:t xml:space="preserve">Primary-team reasoning is also documented as plausible. Korvin has improved medically, objective trends are better, and discharge planning can reasonably be explored.</w:t>
      </w:r>
    </w:p>
    <w:p>
      <w:pPr>
        <w:pStyle w:val="BodyText"/>
      </w:pPr>
      <w:r>
        <w:t xml:space="preserve">Case Management / Social Work note: the transition plan should integrate therapy recommendations, nursing observations, final medication instructions, family availability, and follow-up logistics. This note does not decide whether discharge should occur.</w:t>
      </w:r>
    </w:p>
    <w:bookmarkEnd w:id="13"/>
    <w:bookmarkStart w:id="14" w:name="medication-access-instruction-needs"/>
    <w:p>
      <w:pPr>
        <w:pStyle w:val="Heading2"/>
      </w:pPr>
      <w:r>
        <w:t xml:space="preserve">Medication Access / Instruction Needs</w:t>
      </w:r>
    </w:p>
    <w:p>
      <w:pPr>
        <w:pStyle w:val="FirstParagraph"/>
      </w:pPr>
      <w:r>
        <w:t xml:space="preserve">Medication logistics are flagged because the regimen is complex and may change during hospitalization.</w:t>
      </w:r>
    </w:p>
    <w:p>
      <w:pPr>
        <w:pStyle w:val="BodyText"/>
      </w:pPr>
      <w:r>
        <w:t xml:space="preserve">Concerns to coordinate:</w:t>
      </w:r>
    </w:p>
    <w:p>
      <w:pPr>
        <w:pStyle w:val="Compact"/>
        <w:numPr>
          <w:ilvl w:val="0"/>
          <w:numId w:val="1004"/>
        </w:numPr>
      </w:pPr>
      <w:r>
        <w:t xml:space="preserve">family should understand which chronic medications are continued, held, restarted, or deferred if a discharge plan is later finalized;</w:t>
      </w:r>
    </w:p>
    <w:p>
      <w:pPr>
        <w:pStyle w:val="Compact"/>
        <w:numPr>
          <w:ilvl w:val="0"/>
          <w:numId w:val="1004"/>
        </w:numPr>
      </w:pPr>
      <w:r>
        <w:t xml:space="preserve">inpatient-only correctional insulin lispro should not be assumed to be a home medication without a final authorized medication plan;</w:t>
      </w:r>
    </w:p>
    <w:p>
      <w:pPr>
        <w:pStyle w:val="Compact"/>
        <w:numPr>
          <w:ilvl w:val="0"/>
          <w:numId w:val="1004"/>
        </w:numPr>
      </w:pPr>
      <w:r>
        <w:t xml:space="preserve">prednisone instructions require source-aware explanation and should not be inferred from family report alone;</w:t>
      </w:r>
    </w:p>
    <w:p>
      <w:pPr>
        <w:pStyle w:val="Compact"/>
        <w:numPr>
          <w:ilvl w:val="0"/>
          <w:numId w:val="1004"/>
        </w:numPr>
      </w:pPr>
      <w:r>
        <w:t xml:space="preserve">renal/HF medication timing requires clear communication because Cardiology and Nephrology concerns remain both relevant.</w:t>
      </w:r>
    </w:p>
    <w:p>
      <w:pPr>
        <w:pStyle w:val="FirstParagraph"/>
      </w:pPr>
      <w:r>
        <w:t xml:space="preserve">This note does not create a discharge medication list or final medication reconciliation.</w:t>
      </w:r>
    </w:p>
    <w:bookmarkEnd w:id="14"/>
    <w:bookmarkStart w:id="15" w:name="hd6-before-1800-status"/>
    <w:p>
      <w:pPr>
        <w:pStyle w:val="Heading2"/>
      </w:pPr>
      <w:r>
        <w:t xml:space="preserve">HD6 Before 18:00 Status</w:t>
      </w:r>
    </w:p>
    <w:p>
      <w:pPr>
        <w:pStyle w:val="FirstParagraph"/>
      </w:pPr>
      <w:r>
        <w:t xml:space="preserve">Before world close, care coordination remains active.</w:t>
      </w:r>
    </w:p>
    <w:p>
      <w:pPr>
        <w:pStyle w:val="BodyText"/>
      </w:pPr>
      <w:r>
        <w:t xml:space="preserve">Open items:</w:t>
      </w:r>
    </w:p>
    <w:p>
      <w:pPr>
        <w:pStyle w:val="Compact"/>
        <w:numPr>
          <w:ilvl w:val="0"/>
          <w:numId w:val="1005"/>
        </w:numPr>
      </w:pPr>
      <w:r>
        <w:t xml:space="preserve">confirm level of supervision family can provide;</w:t>
      </w:r>
    </w:p>
    <w:p>
      <w:pPr>
        <w:pStyle w:val="Compact"/>
        <w:numPr>
          <w:ilvl w:val="0"/>
          <w:numId w:val="1005"/>
        </w:numPr>
      </w:pPr>
      <w:r>
        <w:t xml:space="preserve">reconcile therapy and nursing functional observations;</w:t>
      </w:r>
    </w:p>
    <w:p>
      <w:pPr>
        <w:pStyle w:val="Compact"/>
        <w:numPr>
          <w:ilvl w:val="0"/>
          <w:numId w:val="1005"/>
        </w:numPr>
      </w:pPr>
      <w:r>
        <w:t xml:space="preserve">identify whether home services are needed and feasible;</w:t>
      </w:r>
    </w:p>
    <w:p>
      <w:pPr>
        <w:pStyle w:val="Compact"/>
        <w:numPr>
          <w:ilvl w:val="0"/>
          <w:numId w:val="1005"/>
        </w:numPr>
      </w:pPr>
      <w:r>
        <w:t xml:space="preserve">coordinate follow-up plan if discharge proceeds;</w:t>
      </w:r>
    </w:p>
    <w:p>
      <w:pPr>
        <w:pStyle w:val="Compact"/>
        <w:numPr>
          <w:ilvl w:val="0"/>
          <w:numId w:val="1005"/>
        </w:numPr>
      </w:pPr>
      <w:r>
        <w:t xml:space="preserve">ensure medication education has an accountable owner;</w:t>
      </w:r>
    </w:p>
    <w:p>
      <w:pPr>
        <w:pStyle w:val="Compact"/>
        <w:numPr>
          <w:ilvl w:val="0"/>
          <w:numId w:val="1005"/>
        </w:numPr>
      </w:pPr>
      <w:r>
        <w:t xml:space="preserve">avoid assuming medical improvement alone resolves home safety.</w:t>
      </w:r>
    </w:p>
    <w:p>
      <w:pPr>
        <w:pStyle w:val="FirstParagraph"/>
      </w:pPr>
      <w:r>
        <w:t xml:space="preserve">The note supports the need for synthesis. It does not make discharge obviously safe or unsafe.</w:t>
      </w:r>
    </w:p>
    <w:bookmarkEnd w:id="15"/>
    <w:bookmarkStart w:id="16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FI-W21 provides transition logistics and caregiver-capacity context. It does not determine discharge outcome, resolve family friction, create FI-W22’s visible discharge-facing artifact, finalize services, create task instructions, or replace hospitalist decision ownership.</w:t>
      </w:r>
    </w:p>
    <w:bookmarkEnd w:id="16"/>
    <w:bookmarkEnd w:id="17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2026-06-04T06:11:20Z</dcterms:created>
  <dcterms:modified xsi:type="dcterms:W3CDTF">2026-06-04T06:11:20Z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