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3" w:name="X34a0bd4d61f9be8b039b73cbb6f477bb87f55ac"/>
    <w:p>
      <w:pPr>
        <w:pStyle w:val="Heading1"/>
      </w:pPr>
      <w:r>
        <w:t xml:space="preserve">FI-W22 - Discharge-Facing Plan Snapshot Before World Close</w:t>
      </w:r>
    </w:p>
    <w:p>
      <w:pPr>
        <w:pStyle w:val="FirstParagraph"/>
      </w:pPr>
      <w:r>
        <w:t xml:space="preserve">File ID: FI-W22</w:t>
      </w:r>
    </w:p>
    <w:p>
      <w:pPr>
        <w:pStyle w:val="BodyText"/>
      </w:pPr>
      <w:r>
        <w:t xml:space="preserve">File Type: Discharge-facing plan snapshot before world close</w:t>
      </w:r>
    </w:p>
    <w:p>
      <w:pPr>
        <w:pStyle w:val="BodyText"/>
      </w:pPr>
      <w:r>
        <w:t xml:space="preserve">Level: World-Level</w:t>
      </w:r>
    </w:p>
    <w:p>
      <w:pPr>
        <w:pStyle w:val="BodyText"/>
      </w:pPr>
      <w:r>
        <w:t xml:space="preserve">Approximate Date / Anchor: 05/23/2026 before 18:00 / HD6</w:t>
      </w:r>
    </w:p>
    <w:p>
      <w:pPr>
        <w:pStyle w:val="BodyText"/>
      </w:pPr>
      <w:r>
        <w:t xml:space="preserve">Author / Source: Hospitalist / interdisciplinary discharge-planning source</w:t>
      </w:r>
    </w:p>
    <w:p>
      <w:pPr>
        <w:pStyle w:val="BodyText"/>
      </w:pPr>
      <w:r>
        <w:t xml:space="preserve">Tool / Origin: Writer-created synthetic chart file</w:t>
      </w:r>
    </w:p>
    <w:p>
      <w:pPr>
        <w:pStyle w:val="BodyText"/>
      </w:pPr>
      <w:r>
        <w:t xml:space="preserve">Purpose: Provide a visible, reassuring but incomplete discharge-facing artifact available before the world snapshot.</w:t>
      </w:r>
    </w:p>
    <w:p>
      <w:pPr>
        <w:pStyle w:val="BodyText"/>
      </w:pPr>
      <w:r>
        <w:t xml:space="preserve">Supported Workflow(s) / Trap(s) / Friction(s): Discharge Planning Documentation; Hospital Discharge Summary Generation; Discharge Medication Reconciliation; Interdisciplinary Care Plan Development and Documentation; Trap #5; all three frictions</w:t>
      </w:r>
    </w:p>
    <w:p>
      <w:pPr>
        <w:pStyle w:val="BodyText"/>
      </w:pPr>
      <w:r>
        <w:t xml:space="preserve">World Boundary: contains only discharge-planning information available before world close on 05/23/2026 at 18:00. It contains no completed discharge outcome, final discharge medication list, post-discharge follow-up, task framing, expected output, golden response, or grader guidance.</w:t>
      </w:r>
    </w:p>
    <w:bookmarkStart w:id="9" w:name="X8b738a87525a0622002aa9b4918b1997cfa5490"/>
    <w:p>
      <w:pPr>
        <w:pStyle w:val="Heading2"/>
      </w:pPr>
      <w:r>
        <w:t xml:space="preserve">Interdisciplinary Discharge Planning Snapshot</w:t>
      </w:r>
    </w:p>
    <w:p>
      <w:pPr>
        <w:pStyle w:val="FirstParagraph"/>
      </w:pPr>
      <w:r>
        <w:t xml:space="preserve">Patient: Korvin Merrow</w:t>
      </w:r>
    </w:p>
    <w:p>
      <w:pPr>
        <w:pStyle w:val="BodyText"/>
      </w:pPr>
      <w:r>
        <w:t xml:space="preserve">Service: Hospitalist Service</w:t>
      </w:r>
    </w:p>
    <w:p>
      <w:pPr>
        <w:pStyle w:val="BodyText"/>
      </w:pPr>
      <w:r>
        <w:t xml:space="preserve">Primary attending: Dr. Elian Vossmere</w:t>
      </w:r>
    </w:p>
    <w:p>
      <w:pPr>
        <w:pStyle w:val="BodyText"/>
      </w:pPr>
      <w:r>
        <w:t xml:space="preserve">Snapshot time: 05/23/2026, late afternoon before final discharge orders</w:t>
      </w:r>
    </w:p>
    <w:p>
      <w:pPr>
        <w:pStyle w:val="BodyText"/>
      </w:pPr>
      <w:r>
        <w:t xml:space="preserve">This snapshot summarizes the current discharge-facing plan under discussion. It is intended to orient the team before final reconciliation, education, and disposition decisions are completed.</w:t>
      </w:r>
    </w:p>
    <w:bookmarkEnd w:id="9"/>
    <w:bookmarkStart w:id="10" w:name="current-clinical-status-summary"/>
    <w:p>
      <w:pPr>
        <w:pStyle w:val="Heading2"/>
      </w:pPr>
      <w:r>
        <w:t xml:space="preserve">Current Clinical Status Summary</w:t>
      </w:r>
    </w:p>
    <w:p>
      <w:pPr>
        <w:pStyle w:val="FirstParagraph"/>
      </w:pPr>
      <w:r>
        <w:t xml:space="preserve">Korvin is clinically improved compared with admission.</w:t>
      </w:r>
    </w:p>
    <w:p>
      <w:pPr>
        <w:pStyle w:val="BodyText"/>
      </w:pPr>
      <w:r>
        <w:t xml:space="preserve">Discharge-planning positives:</w:t>
      </w:r>
    </w:p>
    <w:p>
      <w:pPr>
        <w:pStyle w:val="Compact"/>
        <w:numPr>
          <w:ilvl w:val="0"/>
          <w:numId w:val="1001"/>
        </w:numPr>
      </w:pPr>
      <w:r>
        <w:t xml:space="preserve">Afebrile trend and improved infection-oriented markers.</w:t>
      </w:r>
    </w:p>
    <w:p>
      <w:pPr>
        <w:pStyle w:val="Compact"/>
        <w:numPr>
          <w:ilvl w:val="0"/>
          <w:numId w:val="1001"/>
        </w:numPr>
      </w:pPr>
      <w:r>
        <w:t xml:space="preserve">Creatinine improved toward known CKD stage 3 baseline range.</w:t>
      </w:r>
    </w:p>
    <w:p>
      <w:pPr>
        <w:pStyle w:val="Compact"/>
        <w:numPr>
          <w:ilvl w:val="0"/>
          <w:numId w:val="1001"/>
        </w:numPr>
      </w:pPr>
      <w:r>
        <w:t xml:space="preserve">Potassium trend improved from admission.</w:t>
      </w:r>
    </w:p>
    <w:p>
      <w:pPr>
        <w:pStyle w:val="Compact"/>
        <w:numPr>
          <w:ilvl w:val="0"/>
          <w:numId w:val="1001"/>
        </w:numPr>
      </w:pPr>
      <w:r>
        <w:t xml:space="preserve">Floor blood pressures have been stable enough for reassessment.</w:t>
      </w:r>
    </w:p>
    <w:p>
      <w:pPr>
        <w:pStyle w:val="Compact"/>
        <w:numPr>
          <w:ilvl w:val="0"/>
          <w:numId w:val="1001"/>
        </w:numPr>
      </w:pPr>
      <w:r>
        <w:t xml:space="preserve">Oral intake and alertness have improved.</w:t>
      </w:r>
    </w:p>
    <w:p>
      <w:pPr>
        <w:pStyle w:val="Compact"/>
        <w:numPr>
          <w:ilvl w:val="0"/>
          <w:numId w:val="1001"/>
        </w:numPr>
      </w:pPr>
      <w:r>
        <w:t xml:space="preserve">Patient is participating with nursing, therapy, consultant, and discharge-planning discussions.</w:t>
      </w:r>
    </w:p>
    <w:p>
      <w:pPr>
        <w:pStyle w:val="FirstParagraph"/>
      </w:pPr>
      <w:r>
        <w:t xml:space="preserve">The inpatient team considers discharge planning reasonable to continue if final medication reconciliation, family education, and transition supports are aligned.</w:t>
      </w:r>
    </w:p>
    <w:bookmarkEnd w:id="10"/>
    <w:bookmarkStart w:id="17" w:name="active-problem-oriented-plan"/>
    <w:p>
      <w:pPr>
        <w:pStyle w:val="Heading2"/>
      </w:pPr>
      <w:r>
        <w:t xml:space="preserve">Active Problem-Oriented Plan</w:t>
      </w:r>
    </w:p>
    <w:bookmarkStart w:id="11" w:name="Xf40e1a935cf23396e2138db1aee5ad558e49357"/>
    <w:p>
      <w:pPr>
        <w:pStyle w:val="Heading3"/>
      </w:pPr>
      <w:r>
        <w:t xml:space="preserve">Suspected urinary-source infection / acute illness recovery</w:t>
      </w:r>
    </w:p>
    <w:p>
      <w:pPr>
        <w:pStyle w:val="FirstParagraph"/>
      </w:pPr>
      <w:r>
        <w:t xml:space="preserve">Clinical response has been reassuring. The working infection frame remains reasonable based on the admission course and subsequent improvement.</w:t>
      </w:r>
    </w:p>
    <w:p>
      <w:pPr>
        <w:pStyle w:val="BodyText"/>
      </w:pPr>
      <w:r>
        <w:t xml:space="preserve">Plan:</w:t>
      </w:r>
    </w:p>
    <w:p>
      <w:pPr>
        <w:pStyle w:val="Compact"/>
        <w:numPr>
          <w:ilvl w:val="0"/>
          <w:numId w:val="1002"/>
        </w:numPr>
      </w:pPr>
      <w:r>
        <w:t xml:space="preserve">complete inpatient treatment course as ordered;</w:t>
      </w:r>
    </w:p>
    <w:p>
      <w:pPr>
        <w:pStyle w:val="Compact"/>
        <w:numPr>
          <w:ilvl w:val="0"/>
          <w:numId w:val="1002"/>
        </w:numPr>
      </w:pPr>
      <w:r>
        <w:t xml:space="preserve">ensure final infection-related instructions are included if discharge proceeds;</w:t>
      </w:r>
    </w:p>
    <w:p>
      <w:pPr>
        <w:pStyle w:val="Compact"/>
        <w:numPr>
          <w:ilvl w:val="0"/>
          <w:numId w:val="1002"/>
        </w:numPr>
      </w:pPr>
      <w:r>
        <w:t xml:space="preserve">provide return precautions for fever, worsening confusion, poor intake, or recurrent weakness.</w:t>
      </w:r>
    </w:p>
    <w:bookmarkEnd w:id="11"/>
    <w:bookmarkStart w:id="12" w:name="aki-on-ckd-stage-3-renal-recovery"/>
    <w:p>
      <w:pPr>
        <w:pStyle w:val="Heading3"/>
      </w:pPr>
      <w:r>
        <w:t xml:space="preserve">AKI on CKD stage 3 / renal recovery</w:t>
      </w:r>
    </w:p>
    <w:p>
      <w:pPr>
        <w:pStyle w:val="FirstParagraph"/>
      </w:pPr>
      <w:r>
        <w:t xml:space="preserve">Renal function has improved substantially from admission. The trend supports reassessment of renal-sensitive chronic medications.</w:t>
      </w:r>
    </w:p>
    <w:p>
      <w:pPr>
        <w:pStyle w:val="BodyText"/>
      </w:pPr>
      <w:r>
        <w:t xml:space="preserve">Plan:</w:t>
      </w:r>
    </w:p>
    <w:p>
      <w:pPr>
        <w:pStyle w:val="Compact"/>
        <w:numPr>
          <w:ilvl w:val="0"/>
          <w:numId w:val="1003"/>
        </w:numPr>
      </w:pPr>
      <w:r>
        <w:t xml:space="preserve">continue renal-aware medication reconciliation before final orders;</w:t>
      </w:r>
    </w:p>
    <w:p>
      <w:pPr>
        <w:pStyle w:val="Compact"/>
        <w:numPr>
          <w:ilvl w:val="0"/>
          <w:numId w:val="1003"/>
        </w:numPr>
      </w:pPr>
      <w:r>
        <w:t xml:space="preserve">avoid assuming admission holds are permanent;</w:t>
      </w:r>
    </w:p>
    <w:p>
      <w:pPr>
        <w:pStyle w:val="Compact"/>
        <w:numPr>
          <w:ilvl w:val="0"/>
          <w:numId w:val="1003"/>
        </w:numPr>
      </w:pPr>
      <w:r>
        <w:t xml:space="preserve">avoid assuming improvement alone settles all restart timing;</w:t>
      </w:r>
    </w:p>
    <w:p>
      <w:pPr>
        <w:pStyle w:val="Compact"/>
        <w:numPr>
          <w:ilvl w:val="0"/>
          <w:numId w:val="1003"/>
        </w:numPr>
      </w:pPr>
      <w:r>
        <w:t xml:space="preserve">arrange renal and primary care follow-up if discharge proceeds.</w:t>
      </w:r>
    </w:p>
    <w:bookmarkEnd w:id="12"/>
    <w:bookmarkStart w:id="13" w:name="hfref-cad-medication-continuity"/>
    <w:p>
      <w:pPr>
        <w:pStyle w:val="Heading3"/>
      </w:pPr>
      <w:r>
        <w:t xml:space="preserve">HFrEF / CAD medication continuity</w:t>
      </w:r>
    </w:p>
    <w:p>
      <w:pPr>
        <w:pStyle w:val="FirstParagraph"/>
      </w:pPr>
      <w:r>
        <w:t xml:space="preserve">Cardiology and Nephrology input has been reviewed. Chronic cardioprotective therapy remains important, while renal recovery and hemodynamic reserve remain relevant to timing.</w:t>
      </w:r>
    </w:p>
    <w:p>
      <w:pPr>
        <w:pStyle w:val="BodyText"/>
      </w:pPr>
      <w:r>
        <w:t xml:space="preserve">Plan:</w:t>
      </w:r>
    </w:p>
    <w:p>
      <w:pPr>
        <w:pStyle w:val="Compact"/>
        <w:numPr>
          <w:ilvl w:val="0"/>
          <w:numId w:val="1004"/>
        </w:numPr>
      </w:pPr>
      <w:r>
        <w:t xml:space="preserve">preserve chronic CAD protection unless a contraindication is identified;</w:t>
      </w:r>
    </w:p>
    <w:p>
      <w:pPr>
        <w:pStyle w:val="Compact"/>
        <w:numPr>
          <w:ilvl w:val="0"/>
          <w:numId w:val="1004"/>
        </w:numPr>
      </w:pPr>
      <w:r>
        <w:t xml:space="preserve">document which HFrEF medications are continued, restarted, held, or deferred in the final medication reconciliation;</w:t>
      </w:r>
    </w:p>
    <w:p>
      <w:pPr>
        <w:pStyle w:val="Compact"/>
        <w:numPr>
          <w:ilvl w:val="0"/>
          <w:numId w:val="1004"/>
        </w:numPr>
      </w:pPr>
      <w:r>
        <w:t xml:space="preserve">include monitoring instructions and follow-up timing in the final discharge materials;</w:t>
      </w:r>
    </w:p>
    <w:p>
      <w:pPr>
        <w:pStyle w:val="Compact"/>
        <w:numPr>
          <w:ilvl w:val="0"/>
          <w:numId w:val="1004"/>
        </w:numPr>
      </w:pPr>
      <w:r>
        <w:t xml:space="preserve">do not let early acute-illness holds persist without rationale.</w:t>
      </w:r>
    </w:p>
    <w:bookmarkEnd w:id="13"/>
    <w:bookmarkStart w:id="14" w:name="diabetes-inpatient-glycemic-management"/>
    <w:p>
      <w:pPr>
        <w:pStyle w:val="Heading3"/>
      </w:pPr>
      <w:r>
        <w:t xml:space="preserve">Diabetes / inpatient glycemic management</w:t>
      </w:r>
    </w:p>
    <w:p>
      <w:pPr>
        <w:pStyle w:val="FirstParagraph"/>
      </w:pPr>
      <w:r>
        <w:t xml:space="preserve">Glucose control has required inpatient monitoring during acute illness, variable intake, and steroid exposure.</w:t>
      </w:r>
    </w:p>
    <w:p>
      <w:pPr>
        <w:pStyle w:val="BodyText"/>
      </w:pPr>
      <w:r>
        <w:t xml:space="preserve">Plan:</w:t>
      </w:r>
    </w:p>
    <w:p>
      <w:pPr>
        <w:pStyle w:val="Compact"/>
        <w:numPr>
          <w:ilvl w:val="0"/>
          <w:numId w:val="1005"/>
        </w:numPr>
      </w:pPr>
      <w:r>
        <w:t xml:space="preserve">reconcile outpatient diabetes medications against renal function, intake, and final discharge plan;</w:t>
      </w:r>
    </w:p>
    <w:p>
      <w:pPr>
        <w:pStyle w:val="Compact"/>
        <w:numPr>
          <w:ilvl w:val="0"/>
          <w:numId w:val="1005"/>
        </w:numPr>
      </w:pPr>
      <w:r>
        <w:t xml:space="preserve">continue patient/family teaching around basal insulin and glucose monitoring if discharge proceeds;</w:t>
      </w:r>
    </w:p>
    <w:p>
      <w:pPr>
        <w:pStyle w:val="Compact"/>
        <w:numPr>
          <w:ilvl w:val="0"/>
          <w:numId w:val="1005"/>
        </w:numPr>
      </w:pPr>
      <w:r>
        <w:t xml:space="preserve">clarify that inpatient correctional insulin use does not automatically represent a home regimen.</w:t>
      </w:r>
    </w:p>
    <w:bookmarkEnd w:id="14"/>
    <w:bookmarkStart w:id="15" w:name="pmr-chronic-prednisone-exposure"/>
    <w:p>
      <w:pPr>
        <w:pStyle w:val="Heading3"/>
      </w:pPr>
      <w:r>
        <w:t xml:space="preserve">PMR / chronic prednisone exposure</w:t>
      </w:r>
    </w:p>
    <w:p>
      <w:pPr>
        <w:pStyle w:val="FirstParagraph"/>
      </w:pPr>
      <w:r>
        <w:t xml:space="preserve">Prednisone history has been reviewed with available outpatient and inpatient sources. Rheumatology provenance remains important for intended outpatient taper context. Endocrinology has advised avoiding abrupt steroid discontinuation while source reconstruction remains incomplete.</w:t>
      </w:r>
    </w:p>
    <w:p>
      <w:pPr>
        <w:pStyle w:val="BodyText"/>
      </w:pPr>
      <w:r>
        <w:t xml:space="preserve">Plan:</w:t>
      </w:r>
    </w:p>
    <w:p>
      <w:pPr>
        <w:pStyle w:val="Compact"/>
        <w:numPr>
          <w:ilvl w:val="0"/>
          <w:numId w:val="1006"/>
        </w:numPr>
      </w:pPr>
      <w:r>
        <w:t xml:space="preserve">include a clear prednisone instruction in final medication reconciliation;</w:t>
      </w:r>
    </w:p>
    <w:p>
      <w:pPr>
        <w:pStyle w:val="Compact"/>
        <w:numPr>
          <w:ilvl w:val="0"/>
          <w:numId w:val="1006"/>
        </w:numPr>
      </w:pPr>
      <w:r>
        <w:t xml:space="preserve">align the instruction with rheumatology taper intent and inpatient clinical status;</w:t>
      </w:r>
    </w:p>
    <w:p>
      <w:pPr>
        <w:pStyle w:val="Compact"/>
        <w:numPr>
          <w:ilvl w:val="0"/>
          <w:numId w:val="1006"/>
        </w:numPr>
      </w:pPr>
      <w:r>
        <w:t xml:space="preserve">avoid vague steroid wording in discharge-facing materials;</w:t>
      </w:r>
    </w:p>
    <w:p>
      <w:pPr>
        <w:pStyle w:val="Compact"/>
        <w:numPr>
          <w:ilvl w:val="0"/>
          <w:numId w:val="1006"/>
        </w:numPr>
      </w:pPr>
      <w:r>
        <w:t xml:space="preserve">arrange appropriate outpatient follow-up if discharge proceeds.</w:t>
      </w:r>
    </w:p>
    <w:bookmarkEnd w:id="15"/>
    <w:bookmarkStart w:id="16" w:name="functional-status-discharge-support"/>
    <w:p>
      <w:pPr>
        <w:pStyle w:val="Heading3"/>
      </w:pPr>
      <w:r>
        <w:t xml:space="preserve">Functional status / discharge support</w:t>
      </w:r>
    </w:p>
    <w:p>
      <w:pPr>
        <w:pStyle w:val="FirstParagraph"/>
      </w:pPr>
      <w:r>
        <w:t xml:space="preserve">Korvin is improved and participating in mobility and ADL work. Therapy and nursing have been involved. Family has participated in discharge-planning conversations.</w:t>
      </w:r>
    </w:p>
    <w:p>
      <w:pPr>
        <w:pStyle w:val="BodyText"/>
      </w:pPr>
      <w:r>
        <w:t xml:space="preserve">Plan under discussion:</w:t>
      </w:r>
    </w:p>
    <w:p>
      <w:pPr>
        <w:pStyle w:val="Compact"/>
        <w:numPr>
          <w:ilvl w:val="0"/>
          <w:numId w:val="1007"/>
        </w:numPr>
      </w:pPr>
      <w:r>
        <w:t xml:space="preserve">continue mobility progression today;</w:t>
      </w:r>
    </w:p>
    <w:p>
      <w:pPr>
        <w:pStyle w:val="Compact"/>
        <w:numPr>
          <w:ilvl w:val="0"/>
          <w:numId w:val="1007"/>
        </w:numPr>
      </w:pPr>
      <w:r>
        <w:t xml:space="preserve">finalize therapy recommendations before discharge order entry;</w:t>
      </w:r>
    </w:p>
    <w:p>
      <w:pPr>
        <w:pStyle w:val="Compact"/>
        <w:numPr>
          <w:ilvl w:val="0"/>
          <w:numId w:val="1007"/>
        </w:numPr>
      </w:pPr>
      <w:r>
        <w:t xml:space="preserve">confirm assistive-device plan and supervision expectations;</w:t>
      </w:r>
    </w:p>
    <w:p>
      <w:pPr>
        <w:pStyle w:val="Compact"/>
        <w:numPr>
          <w:ilvl w:val="0"/>
          <w:numId w:val="1007"/>
        </w:numPr>
      </w:pPr>
      <w:r>
        <w:t xml:space="preserve">coordinate home health or outpatient therapy if indicated and feasible;</w:t>
      </w:r>
    </w:p>
    <w:p>
      <w:pPr>
        <w:pStyle w:val="Compact"/>
        <w:numPr>
          <w:ilvl w:val="0"/>
          <w:numId w:val="1007"/>
        </w:numPr>
      </w:pPr>
      <w:r>
        <w:t xml:space="preserve">review medication instructions with family support present if discharge proceeds.</w:t>
      </w:r>
    </w:p>
    <w:bookmarkEnd w:id="16"/>
    <w:bookmarkEnd w:id="17"/>
    <w:bookmarkStart w:id="18" w:name="interdisciplinary-coordination"/>
    <w:p>
      <w:pPr>
        <w:pStyle w:val="Heading2"/>
      </w:pPr>
      <w:r>
        <w:t xml:space="preserve">Interdisciplinary Coordination</w:t>
      </w:r>
    </w:p>
    <w:p>
      <w:pPr>
        <w:pStyle w:val="FirstParagraph"/>
      </w:pPr>
      <w:r>
        <w:t xml:space="preserve">Consultant services involved:</w:t>
      </w:r>
    </w:p>
    <w:p>
      <w:pPr>
        <w:pStyle w:val="Compact"/>
        <w:numPr>
          <w:ilvl w:val="0"/>
          <w:numId w:val="1008"/>
        </w:numPr>
      </w:pPr>
      <w:r>
        <w:t xml:space="preserve">Nephrology for AKI-on-CKD recovery and renal medication safety.</w:t>
      </w:r>
    </w:p>
    <w:p>
      <w:pPr>
        <w:pStyle w:val="Compact"/>
        <w:numPr>
          <w:ilvl w:val="0"/>
          <w:numId w:val="1008"/>
        </w:numPr>
      </w:pPr>
      <w:r>
        <w:t xml:space="preserve">Cardiology for HFrEF/CAD medication continuity.</w:t>
      </w:r>
    </w:p>
    <w:p>
      <w:pPr>
        <w:pStyle w:val="Compact"/>
        <w:numPr>
          <w:ilvl w:val="0"/>
          <w:numId w:val="1008"/>
        </w:numPr>
      </w:pPr>
      <w:r>
        <w:t xml:space="preserve">Endocrinology for steroid exposure, adrenal-risk interpretation, and diabetes/steroid interaction.</w:t>
      </w:r>
    </w:p>
    <w:p>
      <w:pPr>
        <w:pStyle w:val="FirstParagraph"/>
      </w:pPr>
      <w:r>
        <w:t xml:space="preserve">Functional and transition services involved:</w:t>
      </w:r>
    </w:p>
    <w:p>
      <w:pPr>
        <w:pStyle w:val="Compact"/>
        <w:numPr>
          <w:ilvl w:val="0"/>
          <w:numId w:val="1009"/>
        </w:numPr>
      </w:pPr>
      <w:r>
        <w:t xml:space="preserve">Nursing for bedside status, intake, safety, and patient education.</w:t>
      </w:r>
    </w:p>
    <w:p>
      <w:pPr>
        <w:pStyle w:val="Compact"/>
        <w:numPr>
          <w:ilvl w:val="0"/>
          <w:numId w:val="1009"/>
        </w:numPr>
      </w:pPr>
      <w:r>
        <w:t xml:space="preserve">Physical Therapy and Occupational Therapy for mobility, ADL, and support recommendations.</w:t>
      </w:r>
    </w:p>
    <w:p>
      <w:pPr>
        <w:pStyle w:val="Compact"/>
        <w:numPr>
          <w:ilvl w:val="0"/>
          <w:numId w:val="1009"/>
        </w:numPr>
      </w:pPr>
      <w:r>
        <w:t xml:space="preserve">Case Management / Social Work for services, equipment, transportation, and follow-up logistics.</w:t>
      </w:r>
    </w:p>
    <w:p>
      <w:pPr>
        <w:pStyle w:val="FirstParagraph"/>
      </w:pPr>
      <w:r>
        <w:t xml:space="preserve">Family involvement:</w:t>
      </w:r>
    </w:p>
    <w:p>
      <w:pPr>
        <w:pStyle w:val="Compact"/>
        <w:numPr>
          <w:ilvl w:val="0"/>
          <w:numId w:val="1010"/>
        </w:numPr>
      </w:pPr>
      <w:r>
        <w:t xml:space="preserve">Mara Merrow has been updated and is participating in discharge education and planning.</w:t>
      </w:r>
    </w:p>
    <w:p>
      <w:pPr>
        <w:pStyle w:val="Compact"/>
        <w:numPr>
          <w:ilvl w:val="0"/>
          <w:numId w:val="1010"/>
        </w:numPr>
      </w:pPr>
      <w:r>
        <w:t xml:space="preserve">Family support is expected to be part of the transition plan if discharge proceeds.</w:t>
      </w:r>
    </w:p>
    <w:bookmarkEnd w:id="18"/>
    <w:bookmarkStart w:id="19" w:name="anticipated-disposition-frame"/>
    <w:p>
      <w:pPr>
        <w:pStyle w:val="Heading2"/>
      </w:pPr>
      <w:r>
        <w:t xml:space="preserve">Anticipated Disposition Frame</w:t>
      </w:r>
    </w:p>
    <w:p>
      <w:pPr>
        <w:pStyle w:val="FirstParagraph"/>
      </w:pPr>
      <w:r>
        <w:t xml:space="preserve">No final discharge order has been entered in this snapshot.</w:t>
      </w:r>
    </w:p>
    <w:p>
      <w:pPr>
        <w:pStyle w:val="BodyText"/>
      </w:pPr>
      <w:r>
        <w:t xml:space="preserve">Current working frame:</w:t>
      </w:r>
    </w:p>
    <w:p>
      <w:pPr>
        <w:pStyle w:val="Compact"/>
        <w:numPr>
          <w:ilvl w:val="0"/>
          <w:numId w:val="1011"/>
        </w:numPr>
      </w:pPr>
      <w:r>
        <w:t xml:space="preserve">discharge planning remains active;</w:t>
      </w:r>
    </w:p>
    <w:p>
      <w:pPr>
        <w:pStyle w:val="Compact"/>
        <w:numPr>
          <w:ilvl w:val="0"/>
          <w:numId w:val="1011"/>
        </w:numPr>
      </w:pPr>
      <w:r>
        <w:t xml:space="preserve">home with family support and services is being considered if final checks are satisfactory;</w:t>
      </w:r>
    </w:p>
    <w:p>
      <w:pPr>
        <w:pStyle w:val="Compact"/>
        <w:numPr>
          <w:ilvl w:val="0"/>
          <w:numId w:val="1011"/>
        </w:numPr>
      </w:pPr>
      <w:r>
        <w:t xml:space="preserve">final disposition depends on medication reconciliation, functional recommendations, education completion, support confirmation, and attending review.</w:t>
      </w:r>
    </w:p>
    <w:bookmarkEnd w:id="19"/>
    <w:bookmarkStart w:id="20" w:name="Xbb372587e6ab6b9f9e39affb9abf458acc6b081"/>
    <w:p>
      <w:pPr>
        <w:pStyle w:val="Heading2"/>
      </w:pPr>
      <w:r>
        <w:t xml:space="preserve">Items To Complete Before Final Discharge Order</w:t>
      </w:r>
    </w:p>
    <w:p>
      <w:pPr>
        <w:pStyle w:val="Compact"/>
        <w:numPr>
          <w:ilvl w:val="0"/>
          <w:numId w:val="1012"/>
        </w:numPr>
      </w:pPr>
      <w:r>
        <w:t xml:space="preserve">Final attending review of disposition readiness.</w:t>
      </w:r>
    </w:p>
    <w:p>
      <w:pPr>
        <w:pStyle w:val="Compact"/>
        <w:numPr>
          <w:ilvl w:val="0"/>
          <w:numId w:val="1012"/>
        </w:numPr>
      </w:pPr>
      <w:r>
        <w:t xml:space="preserve">Final medication reconciliation with clear continued, restarted, held, or deferred medications.</w:t>
      </w:r>
    </w:p>
    <w:p>
      <w:pPr>
        <w:pStyle w:val="Compact"/>
        <w:numPr>
          <w:ilvl w:val="0"/>
          <w:numId w:val="1012"/>
        </w:numPr>
      </w:pPr>
      <w:r>
        <w:t xml:space="preserve">Patient and family education for medication changes and warning signs.</w:t>
      </w:r>
    </w:p>
    <w:p>
      <w:pPr>
        <w:pStyle w:val="Compact"/>
        <w:numPr>
          <w:ilvl w:val="0"/>
          <w:numId w:val="1012"/>
        </w:numPr>
      </w:pPr>
      <w:r>
        <w:t xml:space="preserve">Therapy and nursing input reviewed for the selected discharge environment.</w:t>
      </w:r>
    </w:p>
    <w:p>
      <w:pPr>
        <w:pStyle w:val="Compact"/>
        <w:numPr>
          <w:ilvl w:val="0"/>
          <w:numId w:val="1012"/>
        </w:numPr>
      </w:pPr>
      <w:r>
        <w:t xml:space="preserve">Case Management / Social Work confirmation of services, equipment, transportation, and follow-up logistics as applicable.</w:t>
      </w:r>
    </w:p>
    <w:bookmarkEnd w:id="20"/>
    <w:bookmarkStart w:id="21" w:name="snapshot-assessment"/>
    <w:p>
      <w:pPr>
        <w:pStyle w:val="Heading2"/>
      </w:pPr>
      <w:r>
        <w:t xml:space="preserve">Snapshot Assessment</w:t>
      </w:r>
    </w:p>
    <w:p>
      <w:pPr>
        <w:pStyle w:val="FirstParagraph"/>
      </w:pPr>
      <w:r>
        <w:t xml:space="preserve">Korvin is medically improved and discharge planning is reasonable to continue. The plan requires final synthesis of medication timing, steroid instructions, function, family support, and transition logistics before any completed disposition or medication plan is documented.</w:t>
      </w:r>
    </w:p>
    <w:bookmarkEnd w:id="21"/>
    <w:bookmarkStart w:id="22" w:name="guardrails"/>
    <w:p>
      <w:pPr>
        <w:pStyle w:val="Heading2"/>
      </w:pPr>
      <w:r>
        <w:t xml:space="preserve">Guardrails</w:t>
      </w:r>
    </w:p>
    <w:p>
      <w:pPr>
        <w:pStyle w:val="FirstParagraph"/>
      </w:pPr>
      <w:r>
        <w:t xml:space="preserve">FI-W22 is a discharge-facing planning snapshot before world close. It is not a completed discharge summary, final disposition decision, final medication reconciliation, final prednisone taper plan, final consultant synthesis, or answer file. It should be reconciled with consultant notes, objective trends, MAR/action evidence, nursing, PT/OT, family communication, and Case Management / Social Work documentation.</w:t>
      </w:r>
    </w:p>
    <w:bookmarkEnd w:id="22"/>
    <w:bookmarkEnd w:id="23"/>
    <w:sectPr>
      <w:pgSz w:h="15840" w:orient="portrait" w:w="12240"/>
      <w:pgMar w:bottom="1080" w:footer="708" w:header="708" w:left="1080" w:right="1080" w:top="1080"/>
      <w:pgNumType w:start="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http://schemas.microsoft.com/office/tasks/2019/documenttasks" xmlns:a="http://schemas.openxmlformats.org/drawingml/2006/main" xmlns:c="http://schemas.openxmlformats.org/drawingml/2006/chart" xmlns:cr="http://schemas.microsoft.com/office/comments/2020/reactions" xmlns:dgm="http://schemas.openxmlformats.org/drawingml/2006/diagram" xmlns:lc="http://schemas.openxmlformats.org/drawingml/2006/lockedCanvas" xmlns:m="http://schemas.openxmlformats.org/officeDocument/2006/math" xmlns:mc="http://schemas.openxmlformats.org/markup-compatibility/2006" xmlns:o="urn:schemas-microsoft-com:office:office" xmlns:pic="http://schemas.openxmlformats.org/drawingml/2006/picture" xmlns:r="http://schemas.openxmlformats.org/officeDocument/2006/relationships" xmlns:sl="http://schemas.openxmlformats.org/schemaLibrary/2006/main"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ne="http://schemas.microsoft.com/office/word/2006/wordml" xmlns:wp="http://schemas.openxmlformats.org/drawingml/2006/wordprocessingDrawing" xmlns:wpg="http://schemas.microsoft.com/office/word/2010/wordprocessingGroup" xmlns:wps="http://schemas.microsoft.com/office/word/2010/wordprocessingShape">
  <w:abstractNum w:abstractNumId="1">
    <w:lvl w:ilvl="0">
      <w:start w:val="1"/>
      <w:numFmt w:val="bullet"/>
      <w:lvlText w:val="●"/>
      <w:lvlJc w:val="left"/>
      <w:pPr>
        <w:ind w:hanging="360" w:left="720"/>
      </w:pPr>
      <w:rPr/>
    </w:lvl>
    <w:lvl w:ilvl="1">
      <w:start w:val="1"/>
      <w:numFmt w:val="bullet"/>
      <w:lvlText w:val="○"/>
      <w:lvlJc w:val="left"/>
      <w:pPr>
        <w:ind w:hanging="360" w:left="1440"/>
      </w:pPr>
      <w:rPr/>
    </w:lvl>
    <w:lvl w:ilvl="2">
      <w:start w:val="1"/>
      <w:numFmt w:val="bullet"/>
      <w:lvlText w:val="■"/>
      <w:lvlJc w:val="left"/>
      <w:pPr>
        <w:ind w:hanging="360" w:left="2160"/>
      </w:pPr>
      <w:rPr/>
    </w:lvl>
    <w:lvl w:ilvl="3">
      <w:start w:val="1"/>
      <w:numFmt w:val="bullet"/>
      <w:lvlText w:val="●"/>
      <w:lvlJc w:val="left"/>
      <w:pPr>
        <w:ind w:hanging="360" w:left="2880"/>
      </w:pPr>
      <w:rPr/>
    </w:lvl>
    <w:lvl w:ilvl="4">
      <w:start w:val="1"/>
      <w:numFmt w:val="bullet"/>
      <w:lvlText w:val="○"/>
      <w:lvlJc w:val="left"/>
      <w:pPr>
        <w:ind w:hanging="360" w:left="3600"/>
      </w:pPr>
      <w:rPr/>
    </w:lvl>
    <w:lvl w:ilvl="5">
      <w:start w:val="1"/>
      <w:numFmt w:val="bullet"/>
      <w:lvlText w:val="■"/>
      <w:lvlJc w:val="left"/>
      <w:pPr>
        <w:ind w:hanging="360" w:left="4320"/>
      </w:pPr>
      <w:rPr/>
    </w:lvl>
    <w:lvl w:ilvl="6">
      <w:start w:val="1"/>
      <w:numFmt w:val="bullet"/>
      <w:lvlText w:val="●"/>
      <w:lvlJc w:val="left"/>
      <w:pPr>
        <w:ind w:hanging="360" w:left="5040"/>
      </w:pPr>
      <w:rPr/>
    </w:lvl>
    <w:lvl w:ilvl="7">
      <w:start w:val="1"/>
      <w:numFmt w:val="bullet"/>
      <w:lvlText w:val="●"/>
      <w:lvlJc w:val="left"/>
      <w:pPr>
        <w:ind w:hanging="360" w:left="5760"/>
      </w:pPr>
      <w:rPr/>
    </w:lvl>
    <w:lvl w:ilvl="8">
      <w:start w:val="1"/>
      <w:numFmt w:val="bullet"/>
      <w:lvlText w:val="●"/>
      <w:lvlJc w:val="left"/>
      <w:pPr>
        <w:ind w:hanging="360" w:left="6480"/>
      </w:pPr>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
    <w:abstractNumId w:val="1"/>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TrueTypeFonts w:val="1"/>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compat>
    <w:compatSetting w:name="compatibilityMode" w:uri="http://schemas.microsoft.com/office/word" w:val="15"/>
  </w:compat>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http://schemas.microsoft.com/office/tasks/2019/documenttasks" xmlns:a="http://schemas.openxmlformats.org/drawingml/2006/main" xmlns:c="http://schemas.openxmlformats.org/drawingml/2006/chart" xmlns:cr="http://schemas.microsoft.com/office/comments/2020/reactions" xmlns:dgm="http://schemas.openxmlformats.org/drawingml/2006/diagram" xmlns:lc="http://schemas.openxmlformats.org/drawingml/2006/lockedCanvas" xmlns:m="http://schemas.openxmlformats.org/officeDocument/2006/math" xmlns:mc="http://schemas.openxmlformats.org/markup-compatibility/2006" xmlns:o="urn:schemas-microsoft-com:office:office" xmlns:pic="http://schemas.openxmlformats.org/drawingml/2006/picture" xmlns:r="http://schemas.openxmlformats.org/officeDocument/2006/relationships" xmlns:sl="http://schemas.openxmlformats.org/schemaLibrary/2006/main"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ne="http://schemas.microsoft.com/office/word/2006/wordml" xmlns:wp="http://schemas.openxmlformats.org/drawingml/2006/wordprocessingDrawing" xmlns:wpg="http://schemas.microsoft.com/office/word/2010/wordprocessingGroup" xmlns:wps="http://schemas.microsoft.com/office/word/2010/wordprocessingShape">
  <w:docDefaults>
    <w:rPrDefault>
      <w:rPr>
        <w:rFonts w:ascii="Arial" w:cs="Arial" w:eastAsia="Arial" w:hAnsi="Arial"/>
        <w:sz w:val="22"/>
        <w:szCs w:val="22"/>
      </w:rPr>
    </w:rPrDefault>
    <w:pPrDefault>
      <w:pPr/>
    </w:pPrDefault>
  </w:docDefaults>
  <w:style w:default="1" w:styleId="TableNormal" w:type="table">
    <w:name w:val="TableNormal"/>
    <w:tblPr>
      <w:tblCellMar>
        <w:top w:type="dxa" w:w="100.0"/>
        <w:left w:type="dxa" w:w="100.0"/>
        <w:bottom w:type="dxa" w:w="100.0"/>
        <w:right w:type="dxa" w:w="100.0"/>
      </w:tblCellMar>
    </w:tblPr>
  </w:style>
  <w:style w:default="1" w:styleId="Normal" w:type="paragraph">
    <w:name w:val="normal"/>
  </w:style>
  <w:style w:styleId="Heading1" w:type="paragraph">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40" w:lineRule="auto"/>
      <w:ind w:firstLine="0" w:left="0" w:right="0"/>
      <w:jc w:val="left"/>
    </w:pPr>
    <w:rPr>
      <w:rFonts w:ascii="Arial" w:cs="Arial" w:eastAsia="Arial" w:hAnsi="Arial"/>
      <w:b w:val="1"/>
      <w:bCs w:val="1"/>
      <w:i w:val="0"/>
      <w:iCs w:val="0"/>
      <w:smallCaps w:val="0"/>
      <w:strike w:val="0"/>
      <w:color w:val="4472c4"/>
      <w:sz w:val="32"/>
      <w:szCs w:val="32"/>
      <w:u w:val="none"/>
      <w:shd w:fill="auto" w:val="clear"/>
      <w:vertAlign w:val="baseline"/>
    </w:rPr>
  </w:style>
  <w:style w:styleId="Heading2" w:type="paragraph">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firstLine="0" w:left="0" w:right="0"/>
      <w:jc w:val="left"/>
    </w:pPr>
    <w:rPr>
      <w:rFonts w:ascii="Arial" w:cs="Arial" w:eastAsia="Arial" w:hAnsi="Arial"/>
      <w:b w:val="1"/>
      <w:bCs w:val="1"/>
      <w:i w:val="0"/>
      <w:iCs w:val="0"/>
      <w:smallCaps w:val="0"/>
      <w:strike w:val="0"/>
      <w:color w:val="4472c4"/>
      <w:sz w:val="28"/>
      <w:szCs w:val="28"/>
      <w:u w:val="none"/>
      <w:shd w:fill="auto" w:val="clear"/>
      <w:vertAlign w:val="baseline"/>
    </w:rPr>
  </w:style>
  <w:style w:styleId="Heading3" w:type="paragraph">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firstLine="0" w:left="0" w:right="0"/>
      <w:jc w:val="left"/>
    </w:pPr>
    <w:rPr>
      <w:rFonts w:ascii="Arial" w:cs="Arial" w:eastAsia="Arial" w:hAnsi="Arial"/>
      <w:b w:val="0"/>
      <w:bCs w:val="0"/>
      <w:i w:val="0"/>
      <w:iCs w:val="0"/>
      <w:smallCaps w:val="0"/>
      <w:strike w:val="0"/>
      <w:color w:val="1f4d78"/>
      <w:sz w:val="24"/>
      <w:szCs w:val="24"/>
      <w:u w:val="none"/>
      <w:shd w:fill="auto" w:val="clear"/>
      <w:vertAlign w:val="baseline"/>
    </w:rPr>
  </w:style>
  <w:style w:styleId="Heading4" w:type="paragraph">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firstLine="0" w:left="0" w:right="0"/>
      <w:jc w:val="left"/>
    </w:pPr>
    <w:rPr>
      <w:rFonts w:ascii="Arial" w:cs="Arial" w:eastAsia="Arial" w:hAnsi="Arial"/>
      <w:b w:val="0"/>
      <w:bCs w:val="0"/>
      <w:i w:val="1"/>
      <w:iCs w:val="1"/>
      <w:smallCaps w:val="0"/>
      <w:strike w:val="0"/>
      <w:color w:val="2e74b5"/>
      <w:sz w:val="22"/>
      <w:szCs w:val="22"/>
      <w:u w:val="none"/>
      <w:shd w:fill="auto" w:val="clear"/>
      <w:vertAlign w:val="baseline"/>
    </w:rPr>
  </w:style>
  <w:style w:styleId="Heading5" w:type="paragraph">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firstLine="0" w:left="0" w:right="0"/>
      <w:jc w:val="left"/>
    </w:pPr>
    <w:rPr>
      <w:rFonts w:ascii="Arial" w:cs="Arial" w:eastAsia="Arial" w:hAnsi="Arial"/>
      <w:b w:val="0"/>
      <w:bCs w:val="0"/>
      <w:i w:val="0"/>
      <w:iCs w:val="0"/>
      <w:smallCaps w:val="0"/>
      <w:strike w:val="0"/>
      <w:color w:val="2e74b5"/>
      <w:sz w:val="22"/>
      <w:szCs w:val="22"/>
      <w:u w:val="none"/>
      <w:shd w:fill="auto" w:val="clear"/>
      <w:vertAlign w:val="baseline"/>
    </w:rPr>
  </w:style>
  <w:style w:styleId="Heading6" w:type="paragraph">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firstLine="0" w:left="0" w:right="0"/>
      <w:jc w:val="left"/>
    </w:pPr>
    <w:rPr>
      <w:rFonts w:ascii="Arial" w:cs="Arial" w:eastAsia="Arial" w:hAnsi="Arial"/>
      <w:b w:val="0"/>
      <w:bCs w:val="0"/>
      <w:i w:val="0"/>
      <w:iCs w:val="0"/>
      <w:smallCaps w:val="0"/>
      <w:strike w:val="0"/>
      <w:color w:val="1f4d78"/>
      <w:sz w:val="22"/>
      <w:szCs w:val="22"/>
      <w:u w:val="none"/>
      <w:shd w:fill="auto" w:val="clear"/>
      <w:vertAlign w:val="baseline"/>
    </w:rPr>
  </w:style>
  <w:style w:styleId="Title" w:type="paragraph">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firstLine="0" w:left="0" w:right="0"/>
      <w:jc w:val="left"/>
    </w:pPr>
    <w:rPr>
      <w:rFonts w:ascii="Arial" w:cs="Arial" w:eastAsia="Arial" w:hAnsi="Arial"/>
      <w:b w:val="0"/>
      <w:bCs w:val="0"/>
      <w:i w:val="0"/>
      <w:iCs w:val="0"/>
      <w:smallCaps w:val="0"/>
      <w:strike w:val="0"/>
      <w:color w:val="000000"/>
      <w:sz w:val="56"/>
      <w:szCs w:val="56"/>
      <w:u w:val="none"/>
      <w:shd w:fill="auto" w:val="clear"/>
      <w:vertAlign w:val="baseline"/>
    </w:rPr>
  </w:style>
  <w:style w:styleId="Subtitle" w:type="paragraph">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styleId="Table1" w:type="table">
    <w:basedOn w:val="TableNormal"/>
    <w:tblPr>
      <w:tblStyleRowBandSize w:val="1"/>
      <w:tblStyleColBandSize w:val="1"/>
      <w:tblCellMar>
        <w:top w:type="dxa" w:w="0.0"/>
        <w:left w:type="dxa" w:w="115.0"/>
        <w:bottom w:type="dxa" w:w="0.0"/>
        <w:right w:type="dxa" w:w="115.0"/>
      </w:tblCellMar>
    </w:tblPr>
  </w:style>
  <w:style w:styleId="Table2" w:type="table">
    <w:basedOn w:val="TableNormal"/>
    <w:tblPr>
      <w:tblStyleRowBandSize w:val="1"/>
      <w:tblStyleColBandSize w:val="1"/>
      <w:tblCellMar>
        <w:top w:type="dxa" w:w="0.0"/>
        <w:left w:type="dxa" w:w="115.0"/>
        <w:bottom w:type="dxa" w:w="0.0"/>
        <w:right w:type="dxa" w:w="115.0"/>
      </w:tblCellMar>
    </w:tblPr>
  </w:style>
  <w:style w:styleId="Table3" w:type="table">
    <w:basedOn w:val="TableNormal"/>
    <w:tblPr>
      <w:tblStyleRowBandSize w:val="1"/>
      <w:tblStyleColBandSize w:val="1"/>
      <w:tblCellMar>
        <w:top w:type="dxa" w:w="0.0"/>
        <w:left w:type="dxa" w:w="115.0"/>
        <w:bottom w:type="dxa" w:w="0.0"/>
        <w:right w:type="dxa" w:w="115.0"/>
      </w:tblCellMar>
    </w:tblPr>
  </w:style>
  <w:style w:styleId="Table4" w:type="table">
    <w:basedOn w:val="TableNormal"/>
    <w:tblPr>
      <w:tblStyleRowBandSize w:val="1"/>
      <w:tblStyleColBandSize w:val="1"/>
      <w:tblCellMar>
        <w:top w:type="dxa" w:w="0.0"/>
        <w:left w:type="dxa" w:w="115.0"/>
        <w:bottom w:type="dxa" w:w="0.0"/>
        <w:right w:type="dxa" w:w="115.0"/>
      </w:tblCellMar>
    </w:tblPr>
  </w:style>
  <w:style w:styleId="Table5" w:type="table">
    <w:basedOn w:val="TableNormal"/>
    <w:tblPr>
      <w:tblStyleRowBandSize w:val="1"/>
      <w:tblStyleColBandSize w:val="1"/>
      <w:tblCellMar>
        <w:top w:type="dxa" w:w="0.0"/>
        <w:left w:type="dxa" w:w="115.0"/>
        <w:bottom w:type="dxa" w:w="0.0"/>
        <w:right w:type="dxa" w:w="115.0"/>
      </w:tblCellMar>
    </w:tblPr>
  </w:style>
  <w:style w:styleId="Table6" w:type="table">
    <w:basedOn w:val="TableNormal"/>
    <w:tblPr>
      <w:tblStyleRowBandSize w:val="1"/>
      <w:tblStyleColBandSize w:val="1"/>
      <w:tblCellMar>
        <w:top w:type="dxa" w:w="0.0"/>
        <w:left w:type="dxa" w:w="115.0"/>
        <w:bottom w:type="dxa" w:w="0.0"/>
        <w:right w:type="dxa" w:w="115.0"/>
      </w:tblCellMar>
    </w:tblPr>
  </w:style>
  <w:style w:styleId="Table7" w:type="table">
    <w:basedOn w:val="TableNormal"/>
    <w:tblPr>
      <w:tblStyleRowBandSize w:val="1"/>
      <w:tblStyleColBandSize w:val="1"/>
      <w:tblCellMar>
        <w:top w:type="dxa" w:w="0.0"/>
        <w:left w:type="dxa" w:w="115.0"/>
        <w:bottom w:type="dxa" w:w="0.0"/>
        <w:right w:type="dxa" w:w="115.0"/>
      </w:tblCellMar>
    </w:tblPr>
  </w:style>
  <w:style w:styleId="Table8" w:type="table">
    <w:basedOn w:val="TableNormal"/>
    <w:tblPr>
      <w:tblStyleRowBandSize w:val="1"/>
      <w:tblStyleColBandSize w:val="1"/>
      <w:tblCellMar>
        <w:top w:type="dxa" w:w="0.0"/>
        <w:left w:type="dxa" w:w="115.0"/>
        <w:bottom w:type="dxa" w:w="0.0"/>
        <w:right w:type="dxa" w:w="115.0"/>
      </w:tblCellMar>
    </w:tblPr>
  </w:style>
  <w:style w:styleId="Table9" w:type="table">
    <w:basedOn w:val="TableNormal"/>
    <w:tblPr>
      <w:tblStyleRowBandSize w:val="1"/>
      <w:tblStyleColBandSize w:val="1"/>
      <w:tblCellMar>
        <w:top w:type="dxa" w:w="0.0"/>
        <w:left w:type="dxa" w:w="115.0"/>
        <w:bottom w:type="dxa" w:w="0.0"/>
        <w:right w:type="dxa" w:w="115.0"/>
      </w:tblCellMar>
    </w:tblPr>
  </w:style>
  <w:style w:styleId="Table10" w:type="table">
    <w:basedOn w:val="TableNormal"/>
    <w:tblPr>
      <w:tblStyleRowBandSize w:val="1"/>
      <w:tblStyleColBandSize w:val="1"/>
      <w:tblCellMar>
        <w:top w:type="dxa" w:w="0.0"/>
        <w:left w:type="dxa" w:w="115.0"/>
        <w:bottom w:type="dxa" w:w="0.0"/>
        <w:right w:type="dxa" w:w="115.0"/>
      </w:tblCellMar>
    </w:tblPr>
  </w:style>
  <w:style w:styleId="Table11" w:type="table">
    <w:basedOn w:val="TableNormal"/>
    <w:tblPr>
      <w:tblStyleRowBandSize w:val="1"/>
      <w:tblStyleColBandSize w:val="1"/>
      <w:tblCellMar>
        <w:top w:type="dxa" w:w="0.0"/>
        <w:left w:type="dxa" w:w="115.0"/>
        <w:bottom w:type="dxa" w:w="0.0"/>
        <w:right w:type="dxa" w:w="115.0"/>
      </w:tblCellMar>
    </w:tblPr>
  </w:style>
  <w:style w:styleId="Table12" w:type="table">
    <w:basedOn w:val="TableNormal"/>
    <w:tblPr>
      <w:tblStyleRowBandSize w:val="1"/>
      <w:tblStyleColBandSize w:val="1"/>
      <w:tblCellMar>
        <w:top w:type="dxa" w:w="0.0"/>
        <w:left w:type="dxa" w:w="115.0"/>
        <w:bottom w:type="dxa" w:w="0.0"/>
        <w:right w:type="dxa" w:w="115.0"/>
      </w:tblCellMar>
    </w:tblPr>
  </w:style>
  <w:style w:styleId="Table13" w:type="table">
    <w:basedOn w:val="TableNormal"/>
    <w:tblPr>
      <w:tblStyleRowBandSize w:val="1"/>
      <w:tblStyleColBandSize w:val="1"/>
      <w:tblCellMar>
        <w:top w:type="dxa" w:w="0.0"/>
        <w:left w:type="dxa" w:w="115.0"/>
        <w:bottom w:type="dxa" w:w="0.0"/>
        <w:right w:type="dxa" w:w="115.0"/>
      </w:tblCellMar>
    </w:tblPr>
  </w:style>
  <w:style w:styleId="Table14" w:type="table">
    <w:basedOn w:val="TableNormal"/>
    <w:tblPr>
      <w:tblStyleRowBandSize w:val="1"/>
      <w:tblStyleColBandSize w:val="1"/>
      <w:tblCellMar>
        <w:top w:type="dxa" w:w="0.0"/>
        <w:left w:type="dxa" w:w="115.0"/>
        <w:bottom w:type="dxa" w:w="0.0"/>
        <w:right w:type="dxa" w:w="115.0"/>
      </w:tblCellMar>
    </w:tblPr>
  </w:style>
  <w:style w:styleId="Table15" w:type="table">
    <w:basedOn w:val="TableNormal"/>
    <w:tblPr>
      <w:tblStyleRowBandSize w:val="1"/>
      <w:tblStyleColBandSize w:val="1"/>
      <w:tblCellMar>
        <w:top w:type="dxa" w:w="0.0"/>
        <w:left w:type="dxa" w:w="115.0"/>
        <w:bottom w:type="dxa" w:w="0.0"/>
        <w:right w:type="dxa" w:w="115.0"/>
      </w:tblCellMar>
    </w:tblPr>
  </w:style>
  <w:style w:styleId="Table16" w:type="table">
    <w:basedOn w:val="TableNormal"/>
    <w:tblPr>
      <w:tblStyleRowBandSize w:val="1"/>
      <w:tblStyleColBandSize w:val="1"/>
      <w:tblCellMar>
        <w:top w:type="dxa" w:w="0.0"/>
        <w:left w:type="dxa" w:w="115.0"/>
        <w:bottom w:type="dxa" w:w="0.0"/>
        <w:right w:type="dxa" w:w="115.0"/>
      </w:tblCellMar>
    </w:tblPr>
  </w:style>
  <w:style w:styleId="Table17" w:type="table">
    <w:basedOn w:val="TableNormal"/>
    <w:tblPr>
      <w:tblStyleRowBandSize w:val="1"/>
      <w:tblStyleColBandSize w:val="1"/>
      <w:tblCellMar>
        <w:top w:type="dxa" w:w="0.0"/>
        <w:left w:type="dxa" w:w="115.0"/>
        <w:bottom w:type="dxa" w:w="0.0"/>
        <w:right w:type="dxa" w:w="115.0"/>
      </w:tblCellMar>
    </w:tblPr>
  </w:style>
  <w:style w:styleId="Table18" w:type="table">
    <w:basedOn w:val="TableNormal"/>
    <w:tblPr>
      <w:tblStyleRowBandSize w:val="1"/>
      <w:tblStyleColBandSize w:val="1"/>
      <w:tblCellMar>
        <w:top w:type="dxa" w:w="0.0"/>
        <w:left w:type="dxa" w:w="115.0"/>
        <w:bottom w:type="dxa" w:w="0.0"/>
        <w:right w:type="dxa" w:w="115.0"/>
      </w:tblCellMar>
    </w:tblPr>
  </w:style>
  <w:style w:styleId="Table19" w:type="table">
    <w:basedOn w:val="TableNormal"/>
    <w:tblPr>
      <w:tblStyleRowBandSize w:val="1"/>
      <w:tblStyleColBandSize w:val="1"/>
      <w:tblCellMar>
        <w:top w:type="dxa" w:w="0.0"/>
        <w:left w:type="dxa" w:w="115.0"/>
        <w:bottom w:type="dxa" w:w="0.0"/>
        <w:right w:type="dxa" w:w="115.0"/>
      </w:tblCellMar>
    </w:tblPr>
  </w:style>
  <w:style w:styleId="Table20" w:type="table">
    <w:basedOn w:val="TableNormal"/>
    <w:tblPr>
      <w:tblStyleRowBandSize w:val="1"/>
      <w:tblStyleColBandSize w:val="1"/>
      <w:tblCellMar>
        <w:top w:type="dxa" w:w="0.0"/>
        <w:left w:type="dxa" w:w="115.0"/>
        <w:bottom w:type="dxa" w:w="0.0"/>
        <w:right w:type="dxa" w:w="115.0"/>
      </w:tblCellMar>
    </w:tbl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2026-06-04T06:11:20Z</dcterms:created>
  <dcterms:modified xsi:type="dcterms:W3CDTF">2026-06-04T06:11:20Z</dcterms:modified>
</cp:coreProperties>
</file>

<file path=docProps/custom.xml><?xml version="1.0" encoding="utf-8"?>
<Properties xmlns="http://schemas.openxmlformats.org/officeDocument/2006/custom-properties" xmlns:vt="http://schemas.openxmlformats.org/officeDocument/2006/docPropsVTypes"/>
</file>