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ourier New" w:hAnsi="Courier New"/>
          <w:b w:val="0"/>
          <w:sz w:val="20"/>
        </w:rPr>
        <w:t>ENDOCRINE CONSULT - Inpatient Glycemic Management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Anwar Pelletier, MD | Endocrinology, Diabetes &amp; Metabolism | 06/16/2025 10:45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Patient: Lydell, Marva | MRN: ML-7782304 | DOB: 04/22/1953 (72 y, F)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Encounter CSN: ENC-20250613-7782304 | Unit / Room: Med-Surg 4 West / 4W-218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Allergies: Lisinopril / ACE inhibitor class - angioedema (severe).</w:t>
      </w:r>
    </w:p>
    <w:p>
      <w:pPr>
        <w:spacing w:after="120" w:before="0"/>
      </w:pPr>
      <w:r>
        <w:rPr>
          <w:rFonts w:ascii="Courier New" w:hAnsi="Courier New"/>
          <w:b/>
          <w:sz w:val="20"/>
        </w:rPr>
        <w:t>ENDOCRINOLOGY CONSULT NOTE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Patient: Marva Lydell | MRN: ML-7782304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Date: 06/16/2025 10:45 | Provider: Anwar Pelletier, MD, Endocrinology (NPI 1437208956)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Reason for Consult: Inpatient glycemic management - T2DM with metformin held for AKI.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Asked by Dr. Marcus Thorne (hospitalist attending) to optimize glycemic control during this admission for acute decompensated HFpEF with cardiorenal AKI on CKD 3b-4. Patient with longstanding type 2 diabetes mellitus complicated by diabetic peripheral neuropathy. Outpatient HbA1c 7.8% (05/30/2025). Home regimen consists of metformin 1000 mg PO BID, insulin glargine 24 units SC nightly, and gabapentin 300 mg PO TID for neuropathic pain. On admission 06/13/2025 metformin was </w:t>
      </w:r>
      <w:r>
        <w:rPr>
          <w:rFonts w:ascii="Courier New" w:hAnsi="Courier New"/>
          <w:b w:val="0"/>
          <w:sz w:val="20"/>
        </w:rPr>
        <w:t>HELD</w:t>
      </w:r>
      <w:r>
        <w:rPr>
          <w:rFonts w:ascii="Courier New" w:hAnsi="Courier New"/>
          <w:b w:val="0"/>
          <w:sz w:val="20"/>
        </w:rPr>
        <w:t xml:space="preserve"> per hospitalist order set in the setting of AKI (admission creatinine 2.6 mg/dL, baseline ~1.7; eGFR baseline ~30). Basal insulin glargine has been continued at the home dose of 24 units SC nightly, with intake adjustment per protocol. Prandial coverage during this admission has been provided by an </w:t>
      </w:r>
      <w:r>
        <w:rPr>
          <w:rFonts w:ascii="Courier New" w:hAnsi="Courier New"/>
          <w:b w:val="0"/>
          <w:sz w:val="20"/>
        </w:rPr>
        <w:t>INPATIENT-ONLY</w:t>
      </w:r>
      <w:r>
        <w:rPr>
          <w:rFonts w:ascii="Courier New" w:hAnsi="Courier New"/>
          <w:b w:val="0"/>
          <w:sz w:val="20"/>
        </w:rPr>
        <w:t xml:space="preserve"> sliding-scale insulin aspart regimen with meals.</w:t>
      </w:r>
    </w:p>
    <w:p>
      <w:pPr>
        <w:spacing w:after="200" w:before="0"/>
      </w:pPr>
      <w:r>
        <w:rPr>
          <w:rFonts w:ascii="Courier New" w:hAnsi="Courier New"/>
          <w:b w:val="0"/>
          <w:sz w:val="20"/>
        </w:rPr>
        <w:t>Glycemic data reviewed on the MAR and fingerstick flowsheet for hospital days 1-4: AC/HS capillary blood glucose values have been reasonably controlled, with fasting values 130-160 mg/dL and post-prandial readings 180-220 mg/dL. No hypoglycemia documented. No DKA or hyperosmolar features. Renal function improving but eGFR has not yet returned to or sustained baseline. Foot exam at bedside: decreased monofilament sensation bilaterally consistent with established neuropathy; no ulceration, no acute skin breakdown.</w:t>
      </w:r>
    </w:p>
    <w:p>
      <w:pPr>
        <w:spacing w:after="80" w:before="0"/>
      </w:pPr>
      <w:r>
        <w:rPr>
          <w:rFonts w:ascii="Courier New" w:hAnsi="Courier New"/>
          <w:b/>
          <w:sz w:val="20"/>
        </w:rPr>
        <w:t>ASSESSMENT:</w:t>
      </w:r>
    </w:p>
    <w:p>
      <w:pPr>
        <w:spacing w:after="200" w:before="0"/>
      </w:pPr>
      <w:r>
        <w:rPr>
          <w:rFonts w:ascii="Courier New" w:hAnsi="Courier New"/>
          <w:b w:val="0"/>
          <w:sz w:val="20"/>
        </w:rPr>
        <w:t>Type 2 diabetes mellitus with diabetic peripheral neuropathy, baseline HbA1c 7.8%. Acceptable inpatient glycemic control on basal insulin glargine 24 units nightly with prandial sliding-scale insulin aspart. Metformin appropriately held in the setting of AKI; resumption is parameter-gated. The current sliding-scale prandial regimen is an inpatient-only construct intended to manage in-hospital glycemic excursion under controlled meal timing, nursing administration, and frequent fingerstick monitoring; it is not a home regimen and should not be carried forward at discharge.</w:t>
      </w:r>
    </w:p>
    <w:p>
      <w:pPr>
        <w:spacing w:after="80" w:before="0"/>
      </w:pPr>
      <w:r>
        <w:rPr>
          <w:rFonts w:ascii="Courier New" w:hAnsi="Courier New"/>
          <w:b/>
          <w:sz w:val="20"/>
        </w:rPr>
        <w:t>RECOMMENDATIONS:</w:t>
      </w:r>
    </w:p>
    <w:p>
      <w:pPr>
        <w:spacing w:after="60" w:before="0"/>
      </w:pPr>
      <w:r>
        <w:rPr>
          <w:rFonts w:ascii="Courier New" w:hAnsi="Courier New"/>
          <w:b w:val="0"/>
          <w:sz w:val="20"/>
        </w:rPr>
        <w:t xml:space="preserve">1. Continue basal </w:t>
      </w:r>
      <w:r>
        <w:rPr>
          <w:rFonts w:ascii="Courier New" w:hAnsi="Courier New"/>
          <w:b w:val="0"/>
          <w:sz w:val="20"/>
        </w:rPr>
        <w:t>insulin glargine 24 units</w:t>
      </w:r>
      <w:r>
        <w:rPr>
          <w:rFonts w:ascii="Courier New" w:hAnsi="Courier New"/>
          <w:b w:val="0"/>
          <w:sz w:val="20"/>
        </w:rPr>
        <w:t xml:space="preserve"> SC nightly during this admission and through discharge at the home dose.</w:t>
      </w:r>
    </w:p>
    <w:p>
      <w:pPr>
        <w:spacing w:after="60" w:before="0"/>
      </w:pPr>
      <w:r>
        <w:rPr>
          <w:rFonts w:ascii="Courier New" w:hAnsi="Courier New"/>
          <w:b w:val="0"/>
          <w:sz w:val="20"/>
        </w:rPr>
        <w:t xml:space="preserve">2. Continue prandial sliding-scale insulin aspart with meals per the inpatient protocol while admitted. </w:t>
      </w:r>
      <w:r>
        <w:rPr>
          <w:rFonts w:ascii="Courier New" w:hAnsi="Courier New"/>
          <w:b w:val="0"/>
          <w:sz w:val="20"/>
        </w:rPr>
        <w:t>DO NOT carry inpatient sliding-scale insulin home</w:t>
      </w:r>
      <w:r>
        <w:rPr>
          <w:rFonts w:ascii="Courier New" w:hAnsi="Courier New"/>
          <w:b w:val="0"/>
          <w:sz w:val="20"/>
        </w:rPr>
        <w:t xml:space="preserve"> - de-escalate to the home regimen at discharge. The sliding-scale prandial coverage is </w:t>
      </w:r>
      <w:r>
        <w:rPr>
          <w:rFonts w:ascii="Courier New" w:hAnsi="Courier New"/>
          <w:b w:val="0"/>
          <w:sz w:val="20"/>
        </w:rPr>
        <w:t>INPATIENT-ONLY</w:t>
      </w:r>
      <w:r>
        <w:rPr>
          <w:rFonts w:ascii="Courier New" w:hAnsi="Courier New"/>
          <w:b w:val="0"/>
          <w:sz w:val="20"/>
        </w:rPr>
        <w:t>.</w:t>
      </w:r>
    </w:p>
    <w:p>
      <w:pPr>
        <w:spacing w:after="60" w:before="0"/>
      </w:pPr>
      <w:r>
        <w:rPr>
          <w:rFonts w:ascii="Courier New" w:hAnsi="Courier New"/>
          <w:b w:val="0"/>
          <w:sz w:val="20"/>
        </w:rPr>
        <w:t xml:space="preserve">3. Continue to hold </w:t>
      </w:r>
      <w:r>
        <w:rPr>
          <w:rFonts w:ascii="Courier New" w:hAnsi="Courier New"/>
          <w:b w:val="0"/>
          <w:sz w:val="20"/>
        </w:rPr>
        <w:t>metformin</w:t>
      </w:r>
      <w:r>
        <w:rPr>
          <w:rFonts w:ascii="Courier New" w:hAnsi="Courier New"/>
          <w:b w:val="0"/>
          <w:sz w:val="20"/>
        </w:rPr>
        <w:t>. Restart deferred until eGFR &gt;=30 mL/min/1.73m2 sustained, per nephrology judgment, with primary care concurrence. Do not restart during this admission absent that decision.</w:t>
      </w:r>
    </w:p>
    <w:p>
      <w:pPr>
        <w:spacing w:after="60" w:before="0"/>
      </w:pPr>
      <w:r>
        <w:rPr>
          <w:rFonts w:ascii="Courier New" w:hAnsi="Courier New"/>
          <w:b w:val="0"/>
          <w:sz w:val="20"/>
        </w:rPr>
        <w:t>4. Outpatient diabetes follow-up with primary care (Dr. Helena Briarwood, MD), with endocrinology referral as needed. Recheck HbA1c in 3 months.</w:t>
      </w:r>
    </w:p>
    <w:p>
      <w:pPr>
        <w:spacing w:after="200" w:before="0"/>
      </w:pPr>
      <w:r>
        <w:rPr>
          <w:rFonts w:ascii="Courier New" w:hAnsi="Courier New"/>
          <w:b w:val="0"/>
          <w:sz w:val="20"/>
        </w:rPr>
        <w:t>5. Continue gabapentin 300 mg PO TID for diabetic peripheral neuropathy; renal dose recheck at outpatient follow-up given current CKD trajectory.</w:t>
      </w:r>
    </w:p>
    <w:p>
      <w:pPr>
        <w:spacing w:after="240" w:before="0"/>
      </w:pPr>
      <w:r>
        <w:rPr>
          <w:rFonts w:ascii="Courier New" w:hAnsi="Courier New"/>
          <w:b w:val="0"/>
          <w:sz w:val="20"/>
        </w:rPr>
        <w:t>Will follow as needed; sign off pending stable glycemic course.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Electronically signed by: Anwar Pelletier, MD - Endocrinology, Diabetes &amp; Metabolism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Sanctum Regional Medical Center</w:t>
      </w:r>
    </w:p>
    <w:p>
      <w:pPr>
        <w:spacing w:after="40" w:before="0"/>
      </w:pPr>
      <w:r>
        <w:rPr>
          <w:rFonts w:ascii="Courier New" w:hAnsi="Courier New"/>
          <w:b w:val="0"/>
          <w:sz w:val="20"/>
        </w:rPr>
        <w:t>Date: 06/16/2025 11:02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