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before="0"/>
      </w:pPr>
      <w:r>
        <w:rPr>
          <w:rFonts w:ascii="Courier New" w:hAnsi="Courier New"/>
          <w:b w:val="0"/>
          <w:sz w:val="22"/>
        </w:rPr>
        <w:t>NEPHROLOGY CONSULT NOTE - Sanctum Regional Medical Center</w:t>
      </w:r>
    </w:p>
    <w:p>
      <w:pPr>
        <w:spacing w:after="160" w:before="0"/>
      </w:pPr>
      <w:r>
        <w:rPr>
          <w:rFonts w:ascii="Courier New" w:hAnsi="Courier New"/>
          <w:i/>
          <w:sz w:val="20"/>
        </w:rPr>
        <w:t>Beatrix Lund, MD | Nephrology | Riverbend Nephrology Group | 06/15/2025 11:24</w:t>
      </w:r>
    </w:p>
    <w:p>
      <w:pPr>
        <w:spacing w:after="40" w:before="0"/>
      </w:pPr>
      <w:r>
        <w:rPr>
          <w:rFonts w:ascii="Courier New" w:hAnsi="Courier New"/>
          <w:sz w:val="20"/>
        </w:rPr>
        <w:t>Patient: Lydell, Marva   MRN: ML-7782304   DOB: 04/22/1953 (72 y)   Sex: F</w:t>
      </w:r>
    </w:p>
    <w:p>
      <w:pPr>
        <w:spacing w:after="40" w:before="0"/>
      </w:pPr>
      <w:r>
        <w:rPr>
          <w:rFonts w:ascii="Courier New" w:hAnsi="Courier New"/>
          <w:sz w:val="20"/>
        </w:rPr>
        <w:t>Encounter CSN: ENC-20250613-7782304</w:t>
      </w:r>
    </w:p>
    <w:p>
      <w:pPr>
        <w:spacing w:after="40" w:before="0"/>
      </w:pPr>
      <w:r>
        <w:rPr>
          <w:rFonts w:ascii="Courier New" w:hAnsi="Courier New"/>
          <w:sz w:val="20"/>
        </w:rPr>
        <w:t>Allergies: Lisinopril / ACE inhibitor class - angioedema (severe)</w:t>
      </w:r>
    </w:p>
    <w:p>
      <w:pPr>
        <w:spacing w:after="40" w:before="0"/>
      </w:pPr>
      <w:r>
        <w:rPr>
          <w:rFonts w:ascii="Courier New" w:hAnsi="Courier New"/>
          <w:sz w:val="20"/>
        </w:rPr>
        <w:t>Unit / Room: 4 West Med-Surg / Room 4W-218</w:t>
      </w:r>
    </w:p>
    <w:p>
      <w:pPr>
        <w:spacing w:after="40" w:before="0"/>
      </w:pPr>
      <w:r>
        <w:rPr>
          <w:rFonts w:ascii="Courier New" w:hAnsi="Courier New"/>
          <w:sz w:val="20"/>
        </w:rPr>
        <w:t>Attending of record: Marcus Thorne, MD (Hospital Medicine)</w:t>
      </w:r>
    </w:p>
    <w:p>
      <w:pPr>
        <w:spacing w:after="200" w:before="0"/>
      </w:pPr>
      <w:r>
        <w:rPr>
          <w:rFonts w:ascii="Courier New" w:hAnsi="Courier New"/>
          <w:sz w:val="20"/>
        </w:rPr>
        <w:t>Consulting service: Nephrology - Riverbend Nephrology Group</w:t>
      </w:r>
    </w:p>
    <w:p>
      <w:pPr>
        <w:spacing w:after="80" w:before="0"/>
      </w:pPr>
      <w:r>
        <w:rPr>
          <w:rFonts w:ascii="Courier New" w:hAnsi="Courier New"/>
          <w:b/>
          <w:sz w:val="20"/>
        </w:rPr>
        <w:t>NEPHROLOGY CONSULT NOTE</w:t>
      </w:r>
    </w:p>
    <w:p>
      <w:pPr>
        <w:spacing w:after="40" w:before="0"/>
      </w:pPr>
      <w:r>
        <w:rPr>
          <w:rFonts w:ascii="Courier New" w:hAnsi="Courier New"/>
          <w:sz w:val="20"/>
        </w:rPr>
        <w:t>Patient: Marva Lydell   MRN: ML-7782304</w:t>
      </w:r>
    </w:p>
    <w:p>
      <w:pPr>
        <w:spacing w:after="200" w:before="0"/>
      </w:pPr>
      <w:r>
        <w:rPr>
          <w:rFonts w:ascii="Courier New" w:hAnsi="Courier New"/>
          <w:sz w:val="20"/>
        </w:rPr>
        <w:t>Date / Time: 06/15/2025 11:24   Provider: Beatrix Lund, MD, Nephrology</w:t>
      </w:r>
    </w:p>
    <w:p>
      <w:pPr>
        <w:spacing w:after="160" w:before="0"/>
      </w:pPr>
      <w:r>
        <w:rPr>
          <w:rFonts w:ascii="Courier New" w:hAnsi="Courier New"/>
          <w:b w:val="0"/>
          <w:sz w:val="20"/>
        </w:rPr>
        <w:t xml:space="preserve">Reason for Consult: </w:t>
      </w:r>
      <w:r>
        <w:rPr>
          <w:rFonts w:ascii="Courier New" w:hAnsi="Courier New"/>
          <w:b w:val="0"/>
          <w:sz w:val="20"/>
        </w:rPr>
        <w:t>AKI on CKD stage 3b-4 in the setting of acute decompensated HFpEF - assess cardiorenal physiology and provide parameter-gated guidance for the held RAAS, MRA, SGLT2, and metformin agents.</w:t>
      </w:r>
    </w:p>
    <w:p>
      <w:pPr>
        <w:spacing w:after="160" w:before="0"/>
      </w:pPr>
      <w:r>
        <w:rPr>
          <w:rFonts w:ascii="Courier New" w:hAnsi="Courier New"/>
          <w:i/>
          <w:sz w:val="20"/>
        </w:rPr>
        <w:t>Consulted by hospital medicine on hospital day 3 to characterize the renal injury, advise on safe ongoing decongestion in a patient with advanced baseline CKD, and frame the restart pathway for the four chronic agents held on admission. Patient seen at the bedside with daughter Tanielle present.</w:t>
      </w:r>
    </w:p>
    <w:p>
      <w:pPr>
        <w:spacing w:after="160" w:before="0"/>
      </w:pPr>
      <w:r>
        <w:rPr>
          <w:rFonts w:ascii="Courier New" w:hAnsi="Courier New"/>
          <w:sz w:val="20"/>
        </w:rPr>
        <w:t>Mrs. Lydell is a 72-year-old woman with longstanding CKD stage 3b-4 (outpatient baseline creatinine 1.7 mg/dL, eGFR ~30 mL/min/1.73 m2), HFpEF with diastolic dysfunction and mildly elevated filling pressures, atrial fibrillation on apixaban, CAD status post prior PCI, type 2 diabetes with peripheral neuropathy, hypertension on an ARB (ACE-intolerant due to documented angioedema), COPD, and obstructive sleep apnea on home CPAP. She was admitted on 06/13/2025 with acute decompensated HFpEF (+7 kg over her 88 kg dry weight, JVD, bibasilar crackles, NT-proBNP 4820, troponin negative) and concomitant rise in creatinine from baseline 1.7 to 2.6 mg/dL with K 4.8 and BUN 48. Empagliflozin, spironolactone, losartan, and metformin were held on admission by the hospitalist service, with signed hold orders citing acute illness, AKI, and potassium considerations. IV loop diuresis has been ongoing.</w:t>
      </w:r>
    </w:p>
    <w:p>
      <w:pPr>
        <w:spacing w:after="200" w:before="0"/>
      </w:pPr>
      <w:r>
        <w:rPr>
          <w:rFonts w:ascii="Courier New" w:hAnsi="Courier New"/>
          <w:sz w:val="20"/>
        </w:rPr>
        <w:t>Today's chemistries (06/15) show creatinine 2.3 mg/dL, BUN 40, K 4.6, sodium 138, bicarbonate 22, phosphorus mildly elevated at 4.8 trending toward range, magnesium within reference. Hemoglobin 9.5 g/dL (near baseline 10.0 of anemia of CKD). Weight today 92.5 kg, down ~3 kg from admission. Urine output averaging 1.4-1.6 L/24 hours over the past 48 hours on IV torsemide. She remains on 2 L/min nasal cannula at rest with acceptable resting saturation; exertional oxygenation has not yet been formally characterized.</w:t>
      </w:r>
    </w:p>
    <w:p>
      <w:pPr>
        <w:spacing w:after="80" w:before="0"/>
      </w:pPr>
    </w:p>
    <w:p>
      <w:pPr>
        <w:spacing w:after="80" w:before="0"/>
      </w:pPr>
    </w:p>
    <w:p>
      <w:pPr>
        <w:spacing w:after="80" w:before="0"/>
      </w:pPr>
    </w:p>
    <w:p>
      <w:pPr>
        <w:spacing w:after="80" w:before="0"/>
      </w:pPr>
    </w:p>
    <w:p>
      <w:pPr>
        <w:spacing w:after="80" w:before="0"/>
      </w:pPr>
    </w:p>
    <w:p>
      <w:pPr>
        <w:spacing w:after="80" w:before="0"/>
      </w:pPr>
    </w:p>
    <w:p>
      <w:r>
        <w:t>PHYSICAL EXAMINATION:</w:t>
      </w:r>
    </w:p>
    <w:p>
      <w:r>
        <w:t>General: Awake, alert, oriented, conversant in full sentences; no respiratory distress at rest.</w:t>
      </w:r>
    </w:p>
    <w:p>
      <w:r>
        <w:t>Vitals: HR rate-controlled AFib; BP within target; SpO2 94-95% on 2 L NC at rest.</w:t>
      </w:r>
    </w:p>
    <w:p>
      <w:r>
        <w:t>Volume status: JVD reduced from admission; bibasilar crackles less prominent on auscultation; trace-1+ pitting edema at the mid-shins; weight 92.5 kg today (down ~3 kg from admission).</w:t>
      </w:r>
    </w:p>
    <w:p>
      <w:r>
        <w:t>Renal-targeted: Mental status clear; no asterixis; no uremic stigmata. Bladder non-tender; no flank tenderness.</w:t>
      </w:r>
    </w:p>
    <w:p/>
    <w:p>
      <w:pPr>
        <w:spacing w:after="80" w:before="0"/>
      </w:pPr>
      <w:r>
        <w:rPr>
          <w:rFonts w:ascii="Courier New" w:hAnsi="Courier New"/>
          <w:b/>
          <w:sz w:val="20"/>
        </w:rPr>
        <w:t>ASSESSMENT:</w:t>
      </w:r>
    </w:p>
    <w:p>
      <w:pPr>
        <w:spacing w:after="200" w:before="0"/>
      </w:pPr>
      <w:r>
        <w:rPr>
          <w:rFonts w:ascii="Courier New" w:hAnsi="Courier New"/>
          <w:i/>
          <w:sz w:val="20"/>
        </w:rPr>
        <w:t>Cardiorenal AKI on CKD stage 3b-4, improving with decongestion.</w:t>
      </w:r>
      <w:r>
        <w:rPr>
          <w:rFonts w:ascii="Courier New" w:hAnsi="Courier New"/>
          <w:sz w:val="20"/>
        </w:rPr>
        <w:t xml:space="preserve"> The creatinine trajectory (1.7 to 2.6 to 2.3) and concurrent decline in BUN, weight, and JVD support a hemodynamic mechanism - reduced effective renal perfusion in the setting of acute pulmonary congestion and elevated right-sided filling pressures - rather than intrinsic tubular injury or obstructive uropathy. Urinalysis is bland. Potassium has trended favorably (4.8 to 4.6) without intervention. There is no current indication for renal replacement therapy. The medication holds entered on admission remain clinically appropriate.</w:t>
      </w:r>
    </w:p>
    <w:p>
      <w:pPr>
        <w:spacing w:after="80" w:before="0"/>
      </w:pPr>
      <w:r>
        <w:rPr>
          <w:rFonts w:ascii="Courier New" w:hAnsi="Courier New"/>
          <w:b/>
          <w:sz w:val="20"/>
        </w:rPr>
        <w:t>RECOMMENDATIONS:</w:t>
      </w:r>
    </w:p>
    <w:p>
      <w:pPr>
        <w:spacing w:after="120" w:before="0"/>
        <w:ind w:left="360" w:hanging="360"/>
      </w:pPr>
      <w:r>
        <w:rPr>
          <w:rFonts w:ascii="Courier New" w:hAnsi="Courier New"/>
          <w:sz w:val="20"/>
        </w:rPr>
        <w:t xml:space="preserve">1. </w:t>
      </w:r>
      <w:r>
        <w:rPr>
          <w:rFonts w:ascii="Courier New" w:hAnsi="Courier New"/>
          <w:b w:val="0"/>
          <w:sz w:val="20"/>
        </w:rPr>
        <w:t>HOLD empagliflozin 10 mg daily, spironolactone 25 mg daily, losartan 50 mg daily, and metformin 1000 mg BID for the duration of the inpatient stay</w:t>
      </w:r>
      <w:r>
        <w:rPr>
          <w:rFonts w:ascii="Courier New" w:hAnsi="Courier New"/>
          <w:sz w:val="20"/>
        </w:rPr>
        <w:t xml:space="preserve"> in the setting of acute illness and AKI. Signed hold orders should remain in place; do not restart any of these agents during this admission without explicit nephrology concurrence.</w:t>
      </w:r>
    </w:p>
    <w:p>
      <w:pPr>
        <w:spacing w:after="80" w:before="0"/>
        <w:ind w:left="360" w:hanging="360"/>
      </w:pPr>
      <w:r>
        <w:rPr>
          <w:rFonts w:ascii="Courier New" w:hAnsi="Courier New"/>
          <w:sz w:val="20"/>
        </w:rPr>
        <w:t xml:space="preserve">2. </w:t>
      </w:r>
      <w:r>
        <w:rPr>
          <w:rFonts w:ascii="Courier New" w:hAnsi="Courier New"/>
          <w:b w:val="0"/>
          <w:sz w:val="20"/>
        </w:rPr>
        <w:t>Restart timing for each held agent is PARAMETER-GATED and is a CAREFUL OUTPATIENT JUDGMENT against current renal function and potassium - not automatic and not all-at-once.</w:t>
      </w:r>
      <w:r>
        <w:rPr>
          <w:rFonts w:ascii="Courier New" w:hAnsi="Courier New"/>
          <w:sz w:val="20"/>
        </w:rPr>
        <w:t xml:space="preserve"> Specifically:</w:t>
      </w:r>
    </w:p>
    <w:p>
      <w:pPr>
        <w:spacing w:after="80" w:before="0"/>
        <w:ind w:left="792" w:hanging="360"/>
      </w:pPr>
      <w:r>
        <w:rPr>
          <w:rFonts w:ascii="Courier New" w:hAnsi="Courier New"/>
          <w:sz w:val="20"/>
        </w:rPr>
        <w:t xml:space="preserve">- </w:t>
      </w:r>
      <w:r>
        <w:rPr>
          <w:rFonts w:ascii="Courier New" w:hAnsi="Courier New"/>
          <w:b w:val="0"/>
          <w:sz w:val="20"/>
        </w:rPr>
        <w:t>Losartan</w:t>
      </w:r>
      <w:r>
        <w:rPr>
          <w:rFonts w:ascii="Courier New" w:hAnsi="Courier New"/>
          <w:sz w:val="20"/>
        </w:rPr>
        <w:t xml:space="preserve"> - consider restart only when creatinine has returned to baseline (~1.7-1.8 mg/dL) and serum potassium is stable below 5.0 mEq/L on two consecutive checks at least a week apart. Resume at the home dose; recheck a basic metabolic panel within 7-10 days of resumption.</w:t>
      </w:r>
    </w:p>
    <w:p>
      <w:pPr>
        <w:spacing w:after="80" w:before="0"/>
        <w:ind w:left="792" w:hanging="360"/>
      </w:pPr>
      <w:r>
        <w:rPr>
          <w:rFonts w:ascii="Courier New" w:hAnsi="Courier New"/>
          <w:sz w:val="20"/>
        </w:rPr>
        <w:t xml:space="preserve">- </w:t>
      </w:r>
      <w:r>
        <w:rPr>
          <w:rFonts w:ascii="Courier New" w:hAnsi="Courier New"/>
          <w:b w:val="0"/>
          <w:sz w:val="20"/>
        </w:rPr>
        <w:t>Spironolactone</w:t>
      </w:r>
      <w:r>
        <w:rPr>
          <w:rFonts w:ascii="Courier New" w:hAnsi="Courier New"/>
          <w:sz w:val="20"/>
        </w:rPr>
        <w:t xml:space="preserve"> - consider restart only when creatinine is at or near baseline and potassium is stable below 4.8 mEq/L. Recheck a basic metabolic panel within 7 days of resumption and again at 4 weeks. Do not restart concurrently with losartan in the same visit; stagger by at least 1-2 weeks.</w:t>
      </w:r>
    </w:p>
    <w:p>
      <w:pPr>
        <w:spacing w:after="80" w:before="0"/>
        <w:ind w:left="792" w:hanging="360"/>
      </w:pPr>
      <w:r>
        <w:rPr>
          <w:rFonts w:ascii="Courier New" w:hAnsi="Courier New"/>
          <w:sz w:val="20"/>
        </w:rPr>
        <w:t>- Empagliflozin - consider restart when eGFR is sustained at or above 30 mL/min/1.73 m2 off the agent for at least two outpatient measurements, with euvolemia and no active intercurrent illness; reasonable to resume at 10 mg daily with euvolemia, no active intercurrent illness, and stable renal trajectory. Counsel on sick-day rules at the time of restart.</w:t>
      </w:r>
    </w:p>
    <w:p>
      <w:pPr>
        <w:spacing w:after="80" w:before="0"/>
        <w:ind w:left="792" w:hanging="360"/>
      </w:pPr>
      <w:r>
        <w:rPr>
          <w:rFonts w:ascii="Courier New" w:hAnsi="Courier New"/>
          <w:sz w:val="20"/>
        </w:rPr>
        <w:t xml:space="preserve">- </w:t>
      </w:r>
      <w:r>
        <w:rPr>
          <w:rFonts w:ascii="Courier New" w:hAnsi="Courier New"/>
          <w:b w:val="0"/>
          <w:sz w:val="20"/>
        </w:rPr>
        <w:t>Metformin</w:t>
      </w:r>
      <w:r>
        <w:rPr>
          <w:rFonts w:ascii="Courier New" w:hAnsi="Courier New"/>
          <w:sz w:val="20"/>
        </w:rPr>
        <w:t xml:space="preserve"> - consider restart only when eGFR is sustained at or above 30 mL/min/1.73 m2 off the agent for at least two outpatient measurements. Do not restart while creatinine remains above baseline.</w:t>
      </w:r>
    </w:p>
    <w:p>
      <w:pPr>
        <w:spacing w:after="40" w:before="0"/>
      </w:pPr>
      <w:r>
        <w:rPr>
          <w:rFonts w:ascii="Courier New" w:hAnsi="Courier New"/>
          <w:sz w:val="20"/>
        </w:rPr>
      </w:r>
    </w:p>
    <w:p>
      <w:pPr>
        <w:spacing w:after="120" w:before="0"/>
        <w:ind w:left="360" w:hanging="360"/>
      </w:pPr>
      <w:r>
        <w:rPr>
          <w:rFonts w:ascii="Courier New" w:hAnsi="Courier New"/>
          <w:sz w:val="20"/>
        </w:rPr>
        <w:t xml:space="preserve">3. </w:t>
      </w:r>
      <w:r>
        <w:rPr>
          <w:rFonts w:ascii="Courier New" w:hAnsi="Courier New"/>
          <w:b w:val="0"/>
          <w:sz w:val="20"/>
        </w:rPr>
        <w:t>Continue apixaban 5 mg BID for atrial fibrillation.</w:t>
      </w:r>
      <w:r>
        <w:rPr>
          <w:rFonts w:ascii="Courier New" w:hAnsi="Courier New"/>
          <w:sz w:val="20"/>
        </w:rPr>
        <w:t xml:space="preserve"> The dose is appropriate at the current renal function - single-agent, no duplication beyond documented aspirin 81 mg for CAD. Inpatient pharmacy to reverify the renal dose on subsequent chemistries; outpatient nephrology and primary care should reconfirm renal-dose appropriateness at each follow-up panel.</w:t>
      </w:r>
    </w:p>
    <w:p>
      <w:pPr>
        <w:spacing w:after="120" w:before="0"/>
        <w:ind w:left="360" w:hanging="360"/>
      </w:pPr>
      <w:r>
        <w:rPr>
          <w:rFonts w:ascii="Courier New" w:hAnsi="Courier New"/>
          <w:sz w:val="20"/>
        </w:rPr>
        <w:t xml:space="preserve">4. </w:t>
      </w:r>
      <w:r>
        <w:rPr>
          <w:rFonts w:ascii="Courier New" w:hAnsi="Courier New"/>
          <w:b w:val="0"/>
          <w:sz w:val="20"/>
        </w:rPr>
        <w:t>Daily basic metabolic panel, daily standing weight, and strict intake and output</w:t>
      </w:r>
      <w:r>
        <w:rPr>
          <w:rFonts w:ascii="Courier New" w:hAnsi="Courier New"/>
          <w:sz w:val="20"/>
        </w:rPr>
        <w:t xml:space="preserve"> while diuresis is ongoing. Add magnesium and phosphorus every 48 hours.</w:t>
      </w:r>
    </w:p>
    <w:p>
      <w:pPr>
        <w:spacing w:after="120" w:before="0"/>
        <w:ind w:left="360" w:hanging="360"/>
      </w:pPr>
      <w:r>
        <w:rPr>
          <w:rFonts w:ascii="Courier New" w:hAnsi="Courier New"/>
          <w:sz w:val="20"/>
        </w:rPr>
        <w:t xml:space="preserve">5. </w:t>
      </w:r>
      <w:r>
        <w:rPr>
          <w:rFonts w:ascii="Courier New" w:hAnsi="Courier New"/>
          <w:b w:val="0"/>
          <w:sz w:val="20"/>
        </w:rPr>
        <w:t>Avoid nephrotoxins.</w:t>
      </w:r>
      <w:r>
        <w:rPr>
          <w:rFonts w:ascii="Courier New" w:hAnsi="Courier New"/>
          <w:sz w:val="20"/>
        </w:rPr>
        <w:t xml:space="preserve"> No NSAIDs. Avoid iodinated contrast unless the indication is unequivocal and discussed with this service. Renal-dose review for any new agent ordered during the admission, particularly antibiotics and gabapentin.</w:t>
      </w:r>
    </w:p>
    <w:p>
      <w:pPr>
        <w:spacing w:after="200" w:before="0"/>
        <w:ind w:left="360" w:hanging="360"/>
      </w:pPr>
      <w:r>
        <w:rPr>
          <w:rFonts w:ascii="Courier New" w:hAnsi="Courier New"/>
          <w:sz w:val="20"/>
        </w:rPr>
        <w:t xml:space="preserve">6. </w:t>
      </w:r>
      <w:r>
        <w:rPr>
          <w:rFonts w:ascii="Courier New" w:hAnsi="Courier New"/>
          <w:b w:val="0"/>
          <w:sz w:val="20"/>
        </w:rPr>
        <w:t>Nephrology outpatient follow-up with Dr. Lund (Riverbend Nephrology Group) within 7-10 days of discharge,</w:t>
      </w:r>
      <w:r>
        <w:rPr>
          <w:rFonts w:ascii="Courier New" w:hAnsi="Courier New"/>
          <w:sz w:val="20"/>
        </w:rPr>
        <w:t xml:space="preserve"> to reassess creatinine and potassium, to coordinate the staged restart pathway above with primary care and cardiology, and to confirm anticoagulation renal dosing on the outpatient panel. Earlier follow-up if creatinine rises again post-discharge, potassium reaches 5.5 mEq/L, or symptomatic volume change recurs.</w:t>
      </w:r>
    </w:p>
    <w:p>
      <w:pPr>
        <w:spacing w:after="200" w:before="0"/>
      </w:pPr>
      <w:r>
        <w:rPr>
          <w:rFonts w:ascii="Courier New" w:hAnsi="Courier New"/>
          <w:sz w:val="20"/>
        </w:rPr>
        <w:t>Appreciate the consult. Will follow daily while inpatient.</w:t>
      </w:r>
    </w:p>
    <w:p>
      <w:pPr>
        <w:spacing w:after="40" w:before="0"/>
      </w:pPr>
      <w:r>
        <w:rPr>
          <w:rFonts w:ascii="Courier New" w:hAnsi="Courier New"/>
          <w:sz w:val="20"/>
        </w:rPr>
        <w:t xml:space="preserve">Electronically signed by: </w:t>
      </w:r>
      <w:r>
        <w:rPr>
          <w:rFonts w:ascii="Courier New" w:hAnsi="Courier New"/>
          <w:b w:val="0"/>
          <w:sz w:val="20"/>
        </w:rPr>
        <w:t>Beatrix Lund, MD</w:t>
      </w:r>
    </w:p>
    <w:p>
      <w:pPr>
        <w:spacing w:after="40" w:before="0"/>
      </w:pPr>
      <w:r>
        <w:rPr>
          <w:rFonts w:ascii="Courier New" w:hAnsi="Courier New"/>
          <w:sz w:val="20"/>
        </w:rPr>
        <w:t>Nephrology - Riverbend Nephrology Group (consulting service to Sanctum Regional Medical Center)</w:t>
      </w:r>
    </w:p>
    <w:p>
      <w:pPr>
        <w:spacing w:after="40" w:before="0"/>
      </w:pPr>
      <w:r>
        <w:rPr>
          <w:rFonts w:ascii="Courier New" w:hAnsi="Courier New"/>
          <w:sz w:val="20"/>
        </w:rPr>
        <w:t>NPI 1098473625</w:t>
      </w:r>
    </w:p>
    <w:p>
      <w:pPr>
        <w:spacing w:after="40" w:before="0"/>
      </w:pPr>
      <w:r>
        <w:rPr>
          <w:rFonts w:ascii="Courier New" w:hAnsi="Courier New"/>
          <w:sz w:val="20"/>
        </w:rPr>
        <w:t>Date / Time signed: 06/15/2025 11:41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Courier New" w:hAnsi="Courier New"/>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