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ourier New" w:hAnsi="Courier New"/>
          <w:b/>
          <w:color w:val="000000"/>
          <w:sz w:val="24"/>
        </w:rPr>
        <w:t>CLINICAL FLOWSHEET - LABORATORY TREND</w:t>
      </w:r>
    </w:p>
    <w:p>
      <w:pPr>
        <w:spacing w:after="0"/>
      </w:pPr>
      <w:r>
        <w:rPr>
          <w:rFonts w:ascii="Courier New" w:hAnsi="Courier New"/>
          <w:b w:val="0"/>
          <w:color w:val="000000"/>
          <w:sz w:val="18"/>
        </w:rPr>
        <w:t>Sanctum Regional Medical Center | Medical-Surgical Unit 4 West | Date range: 06/13/2025 through 06/19/2025</w:t>
      </w:r>
    </w:p>
    <w:p>
      <w:pPr>
        <w:spacing w:after="0"/>
      </w:pPr>
      <w:r>
        <w:rPr>
          <w:rFonts w:ascii="Courier New" w:hAnsi="Courier New"/>
          <w:b w:val="0"/>
          <w:color w:val="000000"/>
          <w:sz w:val="20"/>
        </w:rPr>
      </w:r>
    </w:p>
    <w:p>
      <w:pPr>
        <w:spacing w:after="0"/>
      </w:pPr>
      <w:r>
        <w:rPr>
          <w:rFonts w:ascii="Courier New" w:hAnsi="Courier New"/>
          <w:b w:val="0"/>
          <w:color w:val="000000"/>
          <w:sz w:val="18"/>
        </w:rPr>
        <w:t>Patient: Lydell, Marva   MRN: ML-7782304   DOB: 1953-04-22   Encounter: ENC-20250613-7782304</w:t>
      </w:r>
    </w:p>
    <w:p>
      <w:pPr>
        <w:spacing w:after="0"/>
      </w:pPr>
      <w:r>
        <w:rPr>
          <w:rFonts w:ascii="Courier New" w:hAnsi="Courier New"/>
          <w:b w:val="0"/>
          <w:color w:val="000000"/>
          <w:sz w:val="18"/>
        </w:rPr>
        <w:t>Flowsheet type: Laboratory Trend - Renal / Basic Metabolic Panel</w:t>
      </w:r>
    </w:p>
    <w:p>
      <w:pPr>
        <w:spacing w:after="0"/>
      </w:pPr>
      <w:r>
        <w:rPr>
          <w:rFonts w:ascii="Courier New" w:hAnsi="Courier New"/>
          <w:b w:val="0"/>
          <w:color w:val="000000"/>
          <w:sz w:val="18"/>
        </w:rPr>
        <w:t>Source: Laboratory Information System (Sanctum Regional MC Core Lab). Specimen: venous serum, AM draw unless noted.</w:t>
      </w:r>
    </w:p>
    <w:p>
      <w:pPr>
        <w:spacing w:after="0"/>
      </w:pPr>
      <w:r>
        <w:rPr>
          <w:rFonts w:ascii="Courier New" w:hAnsi="Courier New"/>
          <w:b w:val="0"/>
          <w:color w:val="000000"/>
          <w:sz w:val="20"/>
        </w:rPr>
      </w:r>
    </w:p>
    <w:p>
      <w:pPr>
        <w:spacing w:after="0"/>
      </w:pPr>
      <w:r>
        <w:rPr>
          <w:rFonts w:ascii="Courier New" w:hAnsi="Courier New"/>
          <w:b/>
          <w:color w:val="000000"/>
          <w:sz w:val="20"/>
        </w:rPr>
        <w:t>PARAMETERS BY TIMEPOINT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36"/>
        <w:gridCol w:w="1536"/>
        <w:gridCol w:w="1536"/>
        <w:gridCol w:w="1536"/>
        <w:gridCol w:w="1536"/>
        <w:gridCol w:w="1536"/>
        <w:gridCol w:w="1536"/>
        <w:gridCol w:w="1536"/>
        <w:gridCol w:w="1536"/>
      </w:tblGrid>
      <w:tr>
        <w:tc>
          <w:tcPr>
            <w:tcW w:type="dxa" w:w="27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color w:val="000000"/>
                <w:sz w:val="16"/>
              </w:rPr>
              <w:t>Parameter (units)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color w:val="000000"/>
                <w:sz w:val="16"/>
              </w:rPr>
              <w:t>Baseline 05/30 (outpt)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color w:val="000000"/>
                <w:sz w:val="16"/>
              </w:rPr>
              <w:t>06/13 (HD1, admit)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color w:val="000000"/>
                <w:sz w:val="16"/>
              </w:rPr>
              <w:t>06/14 (HD2)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color w:val="000000"/>
                <w:sz w:val="16"/>
              </w:rPr>
              <w:t>06/15 (HD3)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color w:val="000000"/>
                <w:sz w:val="16"/>
              </w:rPr>
              <w:t>06/16 (HD4)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color w:val="000000"/>
                <w:sz w:val="16"/>
              </w:rPr>
              <w:t>06/17 (HD5)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color w:val="000000"/>
                <w:sz w:val="16"/>
              </w:rPr>
              <w:t>06/18 (HD6)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color w:val="000000"/>
                <w:sz w:val="16"/>
              </w:rPr>
              <w:t>06/19 (HD7, snapshot)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000000"/>
                <w:sz w:val="16"/>
              </w:rPr>
              <w:t>Creatinine (mg/dL)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1.7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2.6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2.4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2.3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2.1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2.0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2.0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1.9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000000"/>
                <w:sz w:val="16"/>
              </w:rPr>
              <w:t>eGFR (mL/min/1.73m2)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~30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~18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~20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~22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~24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~26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~26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~28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000000"/>
                <w:sz w:val="16"/>
              </w:rPr>
              <w:t>BUN (mg/dL)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28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48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44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40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36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32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30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28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000000"/>
                <w:sz w:val="16"/>
              </w:rPr>
              <w:t>Potassium (mEq/L)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>
              <w:t>4.4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4.8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4.6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4.6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4.5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4.4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4.4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4.4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000000"/>
                <w:sz w:val="16"/>
              </w:rPr>
              <w:t>Sodium (mEq/L)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139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138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138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139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140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140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141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140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000000"/>
                <w:sz w:val="16"/>
              </w:rPr>
              <w:t>Chloride (mEq/L)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103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101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102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103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104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104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105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104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000000"/>
                <w:sz w:val="16"/>
              </w:rPr>
              <w:t>Bicarbonate (mEq/L)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24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21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22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22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23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23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24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24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000000"/>
                <w:sz w:val="16"/>
              </w:rPr>
              <w:t>Calcium (mg/dL)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9.0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8.4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8.5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8.6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8.7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8.8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8.8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8.9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000000"/>
                <w:sz w:val="16"/>
              </w:rPr>
              <w:t>Phosphorus (mg/dL)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3.8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5.2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5.0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4.8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4.6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4.4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4.3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4.2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000000"/>
                <w:sz w:val="16"/>
              </w:rPr>
              <w:t>Magnesium (mg/dL)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2.0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2.2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2.1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2.1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2.0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2.0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1.9</w:t>
            </w:r>
          </w:p>
        </w:tc>
        <w:tc>
          <w:tcPr>
            <w:tcW w:type="dxa" w:w="13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color w:val="000000"/>
                <w:sz w:val="16"/>
              </w:rPr>
              <w:t>2.0</w:t>
            </w:r>
          </w:p>
        </w:tc>
      </w:tr>
    </w:tbl>
    <w:p>
      <w:pPr>
        <w:spacing w:after="0"/>
      </w:pPr>
      <w:r>
        <w:rPr>
          <w:rFonts w:ascii="Courier New" w:hAnsi="Courier New"/>
          <w:b w:val="0"/>
          <w:color w:val="000000"/>
          <w:sz w:val="20"/>
        </w:rPr>
      </w:r>
    </w:p>
    <w:p>
      <w:pPr>
        <w:spacing w:after="0"/>
      </w:pPr>
      <w:r>
        <w:rPr>
          <w:rFonts w:ascii="Courier New" w:hAnsi="Courier New"/>
          <w:b w:val="0"/>
          <w:color w:val="000000"/>
          <w:sz w:val="16"/>
        </w:rPr>
        <w:t>Baseline reference column reflects outpatient draw 05/30/2025 at Cedar Falls Internal Medicine Associates (CKD 3b-4 steady state, pre-decompensation). All other columns are inpatient AM basic metabolic panels drawn at Sanctum Regional MC.</w:t>
      </w:r>
    </w:p>
    <w:p>
      <w:pPr>
        <w:spacing w:after="0"/>
      </w:pPr>
      <w:r>
        <w:rPr>
          <w:rFonts w:ascii="Courier New" w:hAnsi="Courier New"/>
          <w:b w:val="0"/>
          <w:color w:val="000000"/>
          <w:sz w:val="20"/>
        </w:rPr>
      </w:r>
    </w:p>
    <w:p>
      <w:pPr>
        <w:spacing w:after="0"/>
      </w:pPr>
      <w:r>
        <w:rPr>
          <w:rFonts w:ascii="Courier New" w:hAnsi="Courier New"/>
          <w:b/>
          <w:color w:val="000000"/>
          <w:sz w:val="20"/>
        </w:rPr>
        <w:t>REFERENCE RANGES / KEY</w:t>
      </w:r>
    </w:p>
    <w:p>
      <w:pPr>
        <w:spacing w:after="0"/>
      </w:pPr>
      <w:r>
        <w:rPr>
          <w:rFonts w:ascii="Courier New" w:hAnsi="Courier New"/>
          <w:b w:val="0"/>
          <w:color w:val="000000"/>
          <w:sz w:val="18"/>
        </w:rPr>
        <w:t>- Creatinine: 0.6 - 1.2 mg/dL</w:t>
      </w:r>
    </w:p>
    <w:p>
      <w:pPr>
        <w:spacing w:after="0"/>
      </w:pPr>
      <w:r>
        <w:rPr>
          <w:rFonts w:ascii="Courier New" w:hAnsi="Courier New"/>
          <w:b w:val="0"/>
          <w:color w:val="000000"/>
          <w:sz w:val="18"/>
        </w:rPr>
        <w:t>- eGFR (CKD-EPI 2021): &gt;= 60 mL/min/1.73m2</w:t>
      </w:r>
    </w:p>
    <w:p>
      <w:pPr>
        <w:spacing w:after="0"/>
      </w:pPr>
      <w:r>
        <w:rPr>
          <w:rFonts w:ascii="Courier New" w:hAnsi="Courier New"/>
          <w:b w:val="0"/>
          <w:color w:val="000000"/>
          <w:sz w:val="18"/>
        </w:rPr>
        <w:t>- BUN: 7 - 20 mg/dL</w:t>
      </w:r>
    </w:p>
    <w:p>
      <w:pPr>
        <w:spacing w:after="0"/>
      </w:pPr>
      <w:r>
        <w:rPr>
          <w:rFonts w:ascii="Courier New" w:hAnsi="Courier New"/>
          <w:b w:val="0"/>
          <w:color w:val="000000"/>
          <w:sz w:val="18"/>
        </w:rPr>
        <w:t>- Potassium: 3.5 - 5.0 mEq/L</w:t>
      </w:r>
    </w:p>
    <w:p>
      <w:pPr>
        <w:spacing w:after="0"/>
      </w:pPr>
      <w:r>
        <w:rPr>
          <w:rFonts w:ascii="Courier New" w:hAnsi="Courier New"/>
          <w:b w:val="0"/>
          <w:color w:val="000000"/>
          <w:sz w:val="18"/>
        </w:rPr>
        <w:t>- Sodium: 135 - 145 mEq/L</w:t>
      </w:r>
    </w:p>
    <w:p>
      <w:pPr>
        <w:spacing w:after="0"/>
      </w:pPr>
      <w:r>
        <w:rPr>
          <w:rFonts w:ascii="Courier New" w:hAnsi="Courier New"/>
          <w:b w:val="0"/>
          <w:color w:val="000000"/>
          <w:sz w:val="18"/>
        </w:rPr>
        <w:t>- Chloride: 98 - 107 mEq/L</w:t>
      </w:r>
    </w:p>
    <w:p>
      <w:pPr>
        <w:spacing w:after="0"/>
      </w:pPr>
      <w:r>
        <w:rPr>
          <w:rFonts w:ascii="Courier New" w:hAnsi="Courier New"/>
          <w:b w:val="0"/>
          <w:color w:val="000000"/>
          <w:sz w:val="18"/>
        </w:rPr>
        <w:t>- Bicarbonate (CO2): 22 - 29 mEq/L</w:t>
      </w:r>
    </w:p>
    <w:p>
      <w:pPr>
        <w:spacing w:after="0"/>
      </w:pPr>
      <w:r>
        <w:rPr>
          <w:rFonts w:ascii="Courier New" w:hAnsi="Courier New"/>
          <w:b w:val="0"/>
          <w:color w:val="000000"/>
          <w:sz w:val="18"/>
        </w:rPr>
        <w:t>- Calcium: 8.6 - 10.2 mg/dL</w:t>
      </w:r>
    </w:p>
    <w:p>
      <w:pPr>
        <w:spacing w:after="0"/>
      </w:pPr>
      <w:r>
        <w:rPr>
          <w:rFonts w:ascii="Courier New" w:hAnsi="Courier New"/>
          <w:b w:val="0"/>
          <w:color w:val="000000"/>
          <w:sz w:val="18"/>
        </w:rPr>
        <w:t>- Phosphorus: 2.5 - 4.5 mg/dL</w:t>
      </w:r>
    </w:p>
    <w:p>
      <w:pPr>
        <w:spacing w:after="0"/>
      </w:pPr>
      <w:r>
        <w:rPr>
          <w:rFonts w:ascii="Courier New" w:hAnsi="Courier New"/>
          <w:b w:val="0"/>
          <w:color w:val="000000"/>
          <w:sz w:val="18"/>
        </w:rPr>
        <w:t>- Magnesium: 1.6 - 2.6 mg/dL</w:t>
      </w:r>
    </w:p>
    <w:p>
      <w:pPr>
        <w:spacing w:after="0"/>
      </w:pPr>
      <w:r>
        <w:rPr>
          <w:rFonts w:ascii="Courier New" w:hAnsi="Courier New"/>
          <w:b w:val="0"/>
          <w:color w:val="000000"/>
          <w:sz w:val="18"/>
        </w:rPr>
        <w:t>- HD = hospital day. ~ = estimated (eGFR computed from same-day creatinine, age, sex).</w:t>
      </w:r>
    </w:p>
    <w:p>
      <w:pPr>
        <w:spacing w:after="0"/>
      </w:pPr>
      <w:r>
        <w:rPr>
          <w:rFonts w:ascii="Courier New" w:hAnsi="Courier New"/>
          <w:b w:val="0"/>
          <w:color w:val="000000"/>
          <w:sz w:val="18"/>
        </w:rPr>
        <w:t>- Outpatient baseline 05/30 drawn at Cedar Falls Internal Medicine Associates; inpatient values drawn at Sanctum Regional MC Core Lab.</w:t>
      </w:r>
    </w:p>
    <w:p>
      <w:pPr>
        <w:spacing w:after="0"/>
      </w:pPr>
      <w:r>
        <w:rPr>
          <w:rFonts w:ascii="Courier New" w:hAnsi="Courier New"/>
          <w:b w:val="0"/>
          <w:color w:val="000000"/>
          <w:sz w:val="20"/>
        </w:rPr>
      </w:r>
    </w:p>
    <w:p>
      <w:pPr>
        <w:spacing w:after="0"/>
      </w:pPr>
      <w:r>
        <w:rPr>
          <w:rFonts w:ascii="Courier New" w:hAnsi="Courier New"/>
          <w:b/>
          <w:color w:val="000000"/>
          <w:sz w:val="20"/>
        </w:rPr>
        <w:t>NOTES</w:t>
      </w:r>
    </w:p>
    <w:p>
      <w:pPr>
        <w:spacing w:after="0"/>
      </w:pPr>
      <w:r>
        <w:rPr>
          <w:rFonts w:ascii="Courier New" w:hAnsi="Courier New"/>
          <w:b w:val="0"/>
          <w:color w:val="000000"/>
          <w:sz w:val="18"/>
        </w:rPr>
        <w:t>- Trend reflects AKI on CKD 3b-4 improving toward baseline. Held cardiorenal/diabetes oral agents (empagliflozin, spironolactone, losartan, metformin) parameter-gated to renal recovery per nephrology consult 06/15.</w:t>
      </w:r>
    </w:p>
    <w:p>
      <w:pPr>
        <w:spacing w:after="0"/>
      </w:pPr>
      <w:r>
        <w:rPr>
          <w:rFonts w:ascii="Courier New" w:hAnsi="Courier New"/>
          <w:b w:val="0"/>
          <w:color w:val="000000"/>
          <w:sz w:val="18"/>
        </w:rPr>
        <w:t>- Admission Cr 2.6 mg/dL (06/13) against outpatient comparator of 1.7 mg/dL (05/30); creatinine trending downward each hospital day with concurrent diuresis.</w:t>
      </w:r>
    </w:p>
    <w:p>
      <w:pPr>
        <w:spacing w:after="0"/>
      </w:pPr>
      <w:r>
        <w:rPr>
          <w:rFonts w:ascii="Courier New" w:hAnsi="Courier New"/>
          <w:b w:val="0"/>
          <w:color w:val="000000"/>
          <w:sz w:val="18"/>
        </w:rPr>
        <w:t>- Potassium remained within reference range across the admission; no potassium-binder dosing required during this interval.</w:t>
      </w:r>
    </w:p>
    <w:p>
      <w:pPr>
        <w:spacing w:after="0"/>
      </w:pPr>
      <w:r>
        <w:rPr>
          <w:rFonts w:ascii="Courier New" w:hAnsi="Courier New"/>
          <w:b w:val="0"/>
          <w:color w:val="000000"/>
          <w:sz w:val="18"/>
        </w:rPr>
        <w:t>- Phosphorus elevated on admission, trending toward range with oral phosphate binder per nephrology recommendation.</w:t>
      </w:r>
    </w:p>
    <w:p>
      <w:pPr>
        <w:spacing w:after="0"/>
      </w:pPr>
      <w:r>
        <w:rPr>
          <w:rFonts w:ascii="Courier New" w:hAnsi="Courier New"/>
          <w:b w:val="0"/>
          <w:color w:val="000000"/>
          <w:sz w:val="18"/>
        </w:rPr>
        <w:t>- Bicarbonate nadir 21 mEq/L on 06/13 with recovery to 24 mEq/L by 06/19.</w:t>
      </w:r>
    </w:p>
    <w:p>
      <w:pPr>
        <w:spacing w:after="0"/>
      </w:pPr>
      <w:r>
        <w:rPr>
          <w:rFonts w:ascii="Courier New" w:hAnsi="Courier New"/>
          <w:b w:val="0"/>
          <w:color w:val="000000"/>
          <w:sz w:val="18"/>
        </w:rPr>
        <w:t>- Lab values verified against LIS at 06/19/2025 18:00 snapshot. No critical-value callbacks during this interval.</w:t>
      </w:r>
    </w:p>
    <w:sectPr w:rsidR="00FC693F" w:rsidRPr="0006063C" w:rsidSect="00034616">
      <w:pgSz w:w="15840" w:h="12240" w:orient="landscape"/>
      <w:pgMar w:top="1152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