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/>
        <w:jc w:val="center"/>
      </w:pPr>
      <w:r>
        <w:rPr>
          <w:rFonts w:ascii="Arial" w:hAnsi="Arial"/>
          <w:b/>
          <w:sz w:val="26"/>
        </w:rPr>
        <w:t>HOME MEDICATION LIST - ADMISSION RECONCILIATION</w:t>
      </w:r>
    </w:p>
    <w:p>
      <w:pPr>
        <w:spacing w:after="20" w:before="0"/>
        <w:jc w:val="center"/>
      </w:pPr>
      <w:r>
        <w:rPr>
          <w:rFonts w:ascii="Arial" w:hAnsi="Arial"/>
          <w:b w:val="0"/>
          <w:sz w:val="22"/>
        </w:rPr>
        <w:t>Sanctum Regional Medical Center</w:t>
      </w:r>
    </w:p>
    <w:p>
      <w:pPr>
        <w:spacing w:after="20" w:before="0"/>
        <w:jc w:val="center"/>
      </w:pPr>
      <w:r>
        <w:rPr>
          <w:rFonts w:ascii="Arial" w:hAnsi="Arial"/>
          <w:b w:val="0"/>
          <w:sz w:val="18"/>
        </w:rPr>
        <w:t>1450 Wycliffe Boulevard, Cedar Falls, IL 60481</w:t>
      </w:r>
    </w:p>
    <w:p>
      <w:pPr>
        <w:spacing w:after="80" w:before="0"/>
        <w:jc w:val="center"/>
      </w:pPr>
      <w:r>
        <w:rPr>
          <w:rFonts w:ascii="Arial" w:hAnsi="Arial"/>
          <w:b w:val="0"/>
          <w:sz w:val="18"/>
        </w:rPr>
        <w:t>Phone (217) 555-0140  |  Fax (217) 555-0141</w:t>
      </w:r>
    </w:p>
    <w:p>
      <w:pPr>
        <w:spacing w:after="40" w:before="40"/>
        <w:pBdr>
          <w:bottom w:val="single" w:sz="6" w:space="1" w:color="000000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8"/>
              </w:rPr>
              <w:t>Patient:</w:t>
            </w:r>
            <w:r>
              <w:rPr>
                <w:rFonts w:ascii="Arial" w:hAnsi="Arial"/>
                <w:sz w:val="18"/>
              </w:rPr>
              <w:t xml:space="preserve"> Lydell, Marva</w:t>
            </w:r>
          </w:p>
        </w:tc>
        <w:tc>
          <w:tcPr>
            <w:tcW w:type="dxa" w:w="5256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8"/>
              </w:rPr>
              <w:t>MRN:</w:t>
            </w:r>
            <w:r>
              <w:rPr>
                <w:rFonts w:ascii="Arial" w:hAnsi="Arial"/>
                <w:sz w:val="18"/>
              </w:rPr>
              <w:t xml:space="preserve"> ML-7782304</w:t>
            </w:r>
          </w:p>
        </w:tc>
      </w:tr>
      <w:tr>
        <w:tc>
          <w:tcPr>
            <w:tcW w:type="dxa" w:w="5256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8"/>
              </w:rPr>
              <w:t>DOB:</w:t>
            </w:r>
            <w:r>
              <w:rPr>
                <w:rFonts w:ascii="Arial" w:hAnsi="Arial"/>
                <w:sz w:val="18"/>
              </w:rPr>
              <w:t xml:space="preserve"> 04/22/1953 (Age 72, Female)</w:t>
            </w:r>
          </w:p>
        </w:tc>
        <w:tc>
          <w:tcPr>
            <w:tcW w:type="dxa" w:w="5256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8"/>
              </w:rPr>
              <w:t>Encounter / CSN:</w:t>
            </w:r>
            <w:r>
              <w:rPr>
                <w:rFonts w:ascii="Arial" w:hAnsi="Arial"/>
                <w:sz w:val="18"/>
              </w:rPr>
              <w:t xml:space="preserve"> ENC-20250613-7782304</w:t>
            </w:r>
          </w:p>
        </w:tc>
      </w:tr>
      <w:tr>
        <w:tc>
          <w:tcPr>
            <w:tcW w:type="dxa" w:w="5256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8"/>
              </w:rPr>
              <w:t>Admission Date:</w:t>
            </w:r>
            <w:r>
              <w:rPr>
                <w:rFonts w:ascii="Arial" w:hAnsi="Arial"/>
                <w:sz w:val="18"/>
              </w:rPr>
              <w:t xml:space="preserve"> 06/13/2025</w:t>
            </w:r>
          </w:p>
        </w:tc>
        <w:tc>
          <w:tcPr>
            <w:tcW w:type="dxa" w:w="5256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8"/>
              </w:rPr>
              <w:t>Unit / Bed:</w:t>
            </w:r>
            <w:r>
              <w:rPr>
                <w:rFonts w:ascii="Arial" w:hAnsi="Arial"/>
                <w:sz w:val="18"/>
              </w:rPr>
              <w:t xml:space="preserve"> Medical-Surgical Unit 4 West, Room 4W-218</w:t>
            </w:r>
          </w:p>
        </w:tc>
      </w:tr>
      <w:tr>
        <w:tc>
          <w:tcPr>
            <w:tcW w:type="dxa" w:w="5256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8"/>
              </w:rPr>
              <w:t>Reconciliation Date / Time:</w:t>
            </w:r>
            <w:r>
              <w:rPr>
                <w:rFonts w:ascii="Arial" w:hAnsi="Arial"/>
                <w:sz w:val="18"/>
              </w:rPr>
              <w:t xml:space="preserve"> 06/13/2025 14:38</w:t>
            </w:r>
          </w:p>
        </w:tc>
        <w:tc>
          <w:tcPr>
            <w:tcW w:type="dxa" w:w="5256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8"/>
              </w:rPr>
              <w:t>Reconciliation Clinician:</w:t>
            </w:r>
            <w:r>
              <w:rPr>
                <w:rFonts w:ascii="Arial" w:hAnsi="Arial"/>
                <w:sz w:val="18"/>
              </w:rPr>
              <w:t xml:space="preserve"> Admitting RN - Med-Surg 4 West, co-verified by admitting hospitalist</w:t>
            </w:r>
          </w:p>
        </w:tc>
      </w:tr>
      <w:tr>
        <w:tc>
          <w:tcPr>
            <w:tcW w:type="dxa" w:w="5256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 w:before="0"/>
            </w:pPr>
            <w:r>
              <w:rPr>
                <w:rFonts w:ascii="Arial" w:hAnsi="Arial"/>
                <w:b w:val="0"/>
                <w:sz w:val="18"/>
              </w:rPr>
              <w:t>Allergies:</w:t>
            </w:r>
            <w:r>
              <w:rPr>
                <w:rFonts w:ascii="Arial" w:hAnsi="Arial"/>
                <w:sz w:val="18"/>
              </w:rPr>
              <w:t xml:space="preserve"> Lisinopril / ACE inhibitor class - angioedema, severe (maintained on ARB)</w:t>
            </w:r>
          </w:p>
        </w:tc>
        <w:tc>
          <w:tcPr>
            <w:tcW w:type="dxa" w:w="5256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 w:before="0"/>
            </w:pPr>
          </w:p>
        </w:tc>
      </w:tr>
    </w:tbl>
    <w:p>
      <w:pPr>
        <w:spacing w:after="40" w:before="40"/>
      </w:pPr>
      <w:r>
        <w:rPr>
          <w:rFonts w:ascii="Arial" w:hAnsi="Arial"/>
          <w:b w:val="0"/>
          <w:sz w:val="18"/>
        </w:rPr>
        <w:t xml:space="preserve">Reconciliation Source: </w:t>
      </w:r>
      <w:r>
        <w:rPr>
          <w:rFonts w:ascii="Arial" w:hAnsi="Arial"/>
          <w:sz w:val="18"/>
        </w:rPr>
        <w:t>Patient interview, daughter (Tanielle Lydell) confirmation, outpatient EHR (Cedar Falls Internal Medicine Associates), home pharmacy fill history (Cedar Falls Community Pharmacy)</w:t>
      </w:r>
    </w:p>
    <w:p>
      <w:pPr>
        <w:spacing w:after="40" w:before="40"/>
        <w:pBdr>
          <w:bottom w:val="single" w:sz="6" w:space="1" w:color="000000"/>
        </w:pBdr>
      </w:pPr>
    </w:p>
    <w:p>
      <w:pPr>
        <w:spacing w:after="120" w:before="0"/>
      </w:pPr>
      <w:r>
        <w:rPr>
          <w:rFonts w:ascii="Arial" w:hAnsi="Arial"/>
          <w:b w:val="0"/>
          <w:sz w:val="18"/>
        </w:rPr>
        <w:t>Pre-admission home medication list as reported on 06/13/2025. This list reflects baseline status prior to any inpatient holds.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"/>
        <w:gridCol w:w="1728"/>
        <w:gridCol w:w="1368"/>
        <w:gridCol w:w="1224"/>
        <w:gridCol w:w="1584"/>
        <w:gridCol w:w="2232"/>
        <w:gridCol w:w="1944"/>
      </w:tblGrid>
      <w:tr>
        <w:tc>
          <w:tcPr>
            <w:tcW w:type="dxa" w:w="432"/>
            <w:vAlign w:val="center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b w:val="0"/>
                <w:sz w:val="18"/>
              </w:rPr>
              <w:t>#</w:t>
            </w:r>
          </w:p>
        </w:tc>
        <w:tc>
          <w:tcPr>
            <w:tcW w:type="dxa" w:w="1728"/>
            <w:vAlign w:val="center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18"/>
              </w:rPr>
              <w:t>Medication</w:t>
            </w:r>
          </w:p>
        </w:tc>
        <w:tc>
          <w:tcPr>
            <w:tcW w:type="dxa" w:w="1368"/>
            <w:vAlign w:val="center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18"/>
              </w:rPr>
              <w:t>Dose</w:t>
            </w:r>
          </w:p>
        </w:tc>
        <w:tc>
          <w:tcPr>
            <w:tcW w:type="dxa" w:w="1224"/>
            <w:vAlign w:val="center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18"/>
              </w:rPr>
              <w:t>Route</w:t>
            </w:r>
          </w:p>
        </w:tc>
        <w:tc>
          <w:tcPr>
            <w:tcW w:type="dxa" w:w="1584"/>
            <w:vAlign w:val="center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18"/>
              </w:rPr>
              <w:t>Frequency</w:t>
            </w:r>
          </w:p>
        </w:tc>
        <w:tc>
          <w:tcPr>
            <w:tcW w:type="dxa" w:w="2232"/>
            <w:vAlign w:val="center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18"/>
              </w:rPr>
              <w:t>Indication</w:t>
            </w:r>
          </w:p>
        </w:tc>
        <w:tc>
          <w:tcPr>
            <w:tcW w:type="dxa" w:w="1944"/>
            <w:vAlign w:val="center"/>
            <w:shd w:val="clear" w:color="auto"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b w:val="0"/>
                <w:sz w:val="18"/>
              </w:rPr>
              <w:t>Status on admission</w:t>
            </w:r>
          </w:p>
        </w:tc>
      </w:tr>
      <w:tr>
        <w:tc>
          <w:tcPr>
            <w:tcW w:type="dxa" w:w="4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72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Empagliflozin</w:t>
            </w:r>
          </w:p>
        </w:tc>
        <w:tc>
          <w:tcPr>
            <w:tcW w:type="dxa" w:w="13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10 mg</w:t>
            </w:r>
          </w:p>
        </w:tc>
        <w:tc>
          <w:tcPr>
            <w:tcW w:type="dxa" w:w="12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5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Daily</w:t>
            </w:r>
          </w:p>
        </w:tc>
        <w:tc>
          <w:tcPr>
            <w:tcW w:type="dxa" w:w="22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HFpEF, CKD, type 2 diabetes</w:t>
            </w:r>
          </w:p>
        </w:tc>
        <w:tc>
          <w:tcPr>
            <w:tcW w:type="dxa" w:w="194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Active home regimen</w:t>
            </w:r>
          </w:p>
        </w:tc>
      </w:tr>
      <w:tr>
        <w:tc>
          <w:tcPr>
            <w:tcW w:type="dxa" w:w="4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72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Spironolactone</w:t>
            </w:r>
          </w:p>
        </w:tc>
        <w:tc>
          <w:tcPr>
            <w:tcW w:type="dxa" w:w="13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25 mg</w:t>
            </w:r>
          </w:p>
        </w:tc>
        <w:tc>
          <w:tcPr>
            <w:tcW w:type="dxa" w:w="12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5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Daily</w:t>
            </w:r>
          </w:p>
        </w:tc>
        <w:tc>
          <w:tcPr>
            <w:tcW w:type="dxa" w:w="22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HFpEF (mineralocorticoid antagonist)</w:t>
            </w:r>
          </w:p>
        </w:tc>
        <w:tc>
          <w:tcPr>
            <w:tcW w:type="dxa" w:w="194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Active home regimen</w:t>
            </w:r>
          </w:p>
        </w:tc>
      </w:tr>
      <w:tr>
        <w:tc>
          <w:tcPr>
            <w:tcW w:type="dxa" w:w="4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72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Torsemide</w:t>
            </w:r>
          </w:p>
        </w:tc>
        <w:tc>
          <w:tcPr>
            <w:tcW w:type="dxa" w:w="13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20 mg</w:t>
            </w:r>
          </w:p>
        </w:tc>
        <w:tc>
          <w:tcPr>
            <w:tcW w:type="dxa" w:w="12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5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Daily</w:t>
            </w:r>
          </w:p>
        </w:tc>
        <w:tc>
          <w:tcPr>
            <w:tcW w:type="dxa" w:w="22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Heart failure volume management</w:t>
            </w:r>
          </w:p>
        </w:tc>
        <w:tc>
          <w:tcPr>
            <w:tcW w:type="dxa" w:w="194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Active home regimen</w:t>
            </w:r>
          </w:p>
        </w:tc>
      </w:tr>
      <w:tr>
        <w:tc>
          <w:tcPr>
            <w:tcW w:type="dxa" w:w="4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72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Metoprolol succinate</w:t>
            </w:r>
          </w:p>
        </w:tc>
        <w:tc>
          <w:tcPr>
            <w:tcW w:type="dxa" w:w="13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100 mg</w:t>
            </w:r>
          </w:p>
        </w:tc>
        <w:tc>
          <w:tcPr>
            <w:tcW w:type="dxa" w:w="12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5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Daily</w:t>
            </w:r>
          </w:p>
        </w:tc>
        <w:tc>
          <w:tcPr>
            <w:tcW w:type="dxa" w:w="22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Atrial fibrillation rate control; coronary artery disease</w:t>
            </w:r>
          </w:p>
        </w:tc>
        <w:tc>
          <w:tcPr>
            <w:tcW w:type="dxa" w:w="194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Active home regimen</w:t>
            </w:r>
          </w:p>
        </w:tc>
      </w:tr>
      <w:tr>
        <w:tc>
          <w:tcPr>
            <w:tcW w:type="dxa" w:w="4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72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Losartan</w:t>
            </w:r>
          </w:p>
        </w:tc>
        <w:tc>
          <w:tcPr>
            <w:tcW w:type="dxa" w:w="13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50 mg</w:t>
            </w:r>
          </w:p>
        </w:tc>
        <w:tc>
          <w:tcPr>
            <w:tcW w:type="dxa" w:w="12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5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Daily</w:t>
            </w:r>
          </w:p>
        </w:tc>
        <w:tc>
          <w:tcPr>
            <w:tcW w:type="dxa" w:w="22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Hypertension (ACE-intolerant - angioedema)</w:t>
            </w:r>
          </w:p>
        </w:tc>
        <w:tc>
          <w:tcPr>
            <w:tcW w:type="dxa" w:w="194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Active home regimen</w:t>
            </w:r>
          </w:p>
        </w:tc>
      </w:tr>
      <w:tr>
        <w:tc>
          <w:tcPr>
            <w:tcW w:type="dxa" w:w="4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72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Apixaban</w:t>
            </w:r>
          </w:p>
        </w:tc>
        <w:tc>
          <w:tcPr>
            <w:tcW w:type="dxa" w:w="13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5 mg</w:t>
            </w:r>
          </w:p>
        </w:tc>
        <w:tc>
          <w:tcPr>
            <w:tcW w:type="dxa" w:w="12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5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Twice daily (BID)</w:t>
            </w:r>
          </w:p>
        </w:tc>
        <w:tc>
          <w:tcPr>
            <w:tcW w:type="dxa" w:w="22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Atrial fibrillation anticoagulation</w:t>
            </w:r>
          </w:p>
        </w:tc>
        <w:tc>
          <w:tcPr>
            <w:tcW w:type="dxa" w:w="194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Active home regimen</w:t>
            </w:r>
          </w:p>
        </w:tc>
      </w:tr>
      <w:tr>
        <w:tc>
          <w:tcPr>
            <w:tcW w:type="dxa" w:w="4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72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Aspirin</w:t>
            </w:r>
          </w:p>
        </w:tc>
        <w:tc>
          <w:tcPr>
            <w:tcW w:type="dxa" w:w="13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81 mg</w:t>
            </w:r>
          </w:p>
        </w:tc>
        <w:tc>
          <w:tcPr>
            <w:tcW w:type="dxa" w:w="12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5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Daily</w:t>
            </w:r>
          </w:p>
        </w:tc>
        <w:tc>
          <w:tcPr>
            <w:tcW w:type="dxa" w:w="22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CAD secondary prevention</w:t>
            </w:r>
          </w:p>
        </w:tc>
        <w:tc>
          <w:tcPr>
            <w:tcW w:type="dxa" w:w="194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Active home regimen</w:t>
            </w:r>
          </w:p>
        </w:tc>
      </w:tr>
      <w:tr>
        <w:tc>
          <w:tcPr>
            <w:tcW w:type="dxa" w:w="4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172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Metformin</w:t>
            </w:r>
          </w:p>
        </w:tc>
        <w:tc>
          <w:tcPr>
            <w:tcW w:type="dxa" w:w="13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1000 mg</w:t>
            </w:r>
          </w:p>
        </w:tc>
        <w:tc>
          <w:tcPr>
            <w:tcW w:type="dxa" w:w="12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5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Twice daily (BID)</w:t>
            </w:r>
          </w:p>
        </w:tc>
        <w:tc>
          <w:tcPr>
            <w:tcW w:type="dxa" w:w="22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Type 2 diabetes</w:t>
            </w:r>
          </w:p>
        </w:tc>
        <w:tc>
          <w:tcPr>
            <w:tcW w:type="dxa" w:w="194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Active home regimen</w:t>
            </w:r>
          </w:p>
        </w:tc>
      </w:tr>
      <w:tr>
        <w:tc>
          <w:tcPr>
            <w:tcW w:type="dxa" w:w="4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type="dxa" w:w="172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Insulin glargine</w:t>
            </w:r>
          </w:p>
        </w:tc>
        <w:tc>
          <w:tcPr>
            <w:tcW w:type="dxa" w:w="13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24 units</w:t>
            </w:r>
          </w:p>
        </w:tc>
        <w:tc>
          <w:tcPr>
            <w:tcW w:type="dxa" w:w="12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Subcutaneous</w:t>
            </w:r>
          </w:p>
        </w:tc>
        <w:tc>
          <w:tcPr>
            <w:tcW w:type="dxa" w:w="15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Nightly</w:t>
            </w:r>
          </w:p>
        </w:tc>
        <w:tc>
          <w:tcPr>
            <w:tcW w:type="dxa" w:w="22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Type 2 diabetes - basal</w:t>
            </w:r>
          </w:p>
        </w:tc>
        <w:tc>
          <w:tcPr>
            <w:tcW w:type="dxa" w:w="194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Active home regimen</w:t>
            </w:r>
          </w:p>
        </w:tc>
      </w:tr>
      <w:tr>
        <w:tc>
          <w:tcPr>
            <w:tcW w:type="dxa" w:w="4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type="dxa" w:w="172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Insulin aspart</w:t>
            </w:r>
          </w:p>
        </w:tc>
        <w:tc>
          <w:tcPr>
            <w:tcW w:type="dxa" w:w="13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Sliding scale (home prandial regimen)</w:t>
            </w:r>
          </w:p>
        </w:tc>
        <w:tc>
          <w:tcPr>
            <w:tcW w:type="dxa" w:w="12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Subcutaneous</w:t>
            </w:r>
          </w:p>
        </w:tc>
        <w:tc>
          <w:tcPr>
            <w:tcW w:type="dxa" w:w="15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With meals</w:t>
            </w:r>
          </w:p>
        </w:tc>
        <w:tc>
          <w:tcPr>
            <w:tcW w:type="dxa" w:w="22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Type 2 diabetes - prandial</w:t>
            </w:r>
          </w:p>
        </w:tc>
        <w:tc>
          <w:tcPr>
            <w:tcW w:type="dxa" w:w="194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Active home regimen</w:t>
            </w:r>
          </w:p>
        </w:tc>
      </w:tr>
      <w:tr>
        <w:tc>
          <w:tcPr>
            <w:tcW w:type="dxa" w:w="4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type="dxa" w:w="172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Atorvastatin</w:t>
            </w:r>
          </w:p>
        </w:tc>
        <w:tc>
          <w:tcPr>
            <w:tcW w:type="dxa" w:w="13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40 mg</w:t>
            </w:r>
          </w:p>
        </w:tc>
        <w:tc>
          <w:tcPr>
            <w:tcW w:type="dxa" w:w="12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5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Nightly</w:t>
            </w:r>
          </w:p>
        </w:tc>
        <w:tc>
          <w:tcPr>
            <w:tcW w:type="dxa" w:w="22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CAD secondary prevention; dyslipidemia</w:t>
            </w:r>
          </w:p>
        </w:tc>
        <w:tc>
          <w:tcPr>
            <w:tcW w:type="dxa" w:w="194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Active home regimen</w:t>
            </w:r>
          </w:p>
        </w:tc>
      </w:tr>
      <w:tr>
        <w:tc>
          <w:tcPr>
            <w:tcW w:type="dxa" w:w="4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type="dxa" w:w="172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Tiotropium</w:t>
            </w:r>
          </w:p>
        </w:tc>
        <w:tc>
          <w:tcPr>
            <w:tcW w:type="dxa" w:w="13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18 mcg</w:t>
            </w:r>
          </w:p>
        </w:tc>
        <w:tc>
          <w:tcPr>
            <w:tcW w:type="dxa" w:w="12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Inhaled (HandiHaler)</w:t>
            </w:r>
          </w:p>
        </w:tc>
        <w:tc>
          <w:tcPr>
            <w:tcW w:type="dxa" w:w="15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Daily</w:t>
            </w:r>
          </w:p>
        </w:tc>
        <w:tc>
          <w:tcPr>
            <w:tcW w:type="dxa" w:w="22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COPD maintenance</w:t>
            </w:r>
          </w:p>
        </w:tc>
        <w:tc>
          <w:tcPr>
            <w:tcW w:type="dxa" w:w="194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Active home regimen</w:t>
            </w:r>
          </w:p>
        </w:tc>
      </w:tr>
      <w:tr>
        <w:tc>
          <w:tcPr>
            <w:tcW w:type="dxa" w:w="4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8"/>
              </w:rPr>
              <w:t>13</w:t>
            </w:r>
          </w:p>
        </w:tc>
        <w:tc>
          <w:tcPr>
            <w:tcW w:type="dxa" w:w="172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Albuterol</w:t>
            </w:r>
          </w:p>
        </w:tc>
        <w:tc>
          <w:tcPr>
            <w:tcW w:type="dxa" w:w="13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90 mcg/actuation</w:t>
            </w:r>
          </w:p>
        </w:tc>
        <w:tc>
          <w:tcPr>
            <w:tcW w:type="dxa" w:w="12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Inhaled (MDI)</w:t>
            </w:r>
          </w:p>
        </w:tc>
        <w:tc>
          <w:tcPr>
            <w:tcW w:type="dxa" w:w="15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As needed (PRN)</w:t>
            </w:r>
          </w:p>
        </w:tc>
        <w:tc>
          <w:tcPr>
            <w:tcW w:type="dxa" w:w="22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COPD rescue</w:t>
            </w:r>
          </w:p>
        </w:tc>
        <w:tc>
          <w:tcPr>
            <w:tcW w:type="dxa" w:w="194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Active home regimen</w:t>
            </w:r>
          </w:p>
        </w:tc>
      </w:tr>
      <w:tr>
        <w:tc>
          <w:tcPr>
            <w:tcW w:type="dxa" w:w="4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8"/>
              </w:rPr>
              <w:t>14</w:t>
            </w:r>
          </w:p>
        </w:tc>
        <w:tc>
          <w:tcPr>
            <w:tcW w:type="dxa" w:w="172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Gabapentin</w:t>
            </w:r>
          </w:p>
        </w:tc>
        <w:tc>
          <w:tcPr>
            <w:tcW w:type="dxa" w:w="13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300 mg</w:t>
            </w:r>
          </w:p>
        </w:tc>
        <w:tc>
          <w:tcPr>
            <w:tcW w:type="dxa" w:w="12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5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Three times daily (TID)</w:t>
            </w:r>
          </w:p>
        </w:tc>
        <w:tc>
          <w:tcPr>
            <w:tcW w:type="dxa" w:w="22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Diabetic peripheral neuropathy</w:t>
            </w:r>
          </w:p>
        </w:tc>
        <w:tc>
          <w:tcPr>
            <w:tcW w:type="dxa" w:w="194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Active home regimen</w:t>
            </w:r>
          </w:p>
        </w:tc>
      </w:tr>
      <w:tr>
        <w:tc>
          <w:tcPr>
            <w:tcW w:type="dxa" w:w="4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172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Ferrous sulfate</w:t>
            </w:r>
          </w:p>
        </w:tc>
        <w:tc>
          <w:tcPr>
            <w:tcW w:type="dxa" w:w="13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325 mg</w:t>
            </w:r>
          </w:p>
        </w:tc>
        <w:tc>
          <w:tcPr>
            <w:tcW w:type="dxa" w:w="12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5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Daily</w:t>
            </w:r>
          </w:p>
        </w:tc>
        <w:tc>
          <w:tcPr>
            <w:tcW w:type="dxa" w:w="22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Anemia of CKD</w:t>
            </w:r>
          </w:p>
        </w:tc>
        <w:tc>
          <w:tcPr>
            <w:tcW w:type="dxa" w:w="194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Active home regimen</w:t>
            </w:r>
          </w:p>
        </w:tc>
      </w:tr>
      <w:tr>
        <w:tc>
          <w:tcPr>
            <w:tcW w:type="dxa" w:w="4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172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Cholecalciferol (Vitamin D3)</w:t>
            </w:r>
          </w:p>
        </w:tc>
        <w:tc>
          <w:tcPr>
            <w:tcW w:type="dxa" w:w="13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2000 units</w:t>
            </w:r>
          </w:p>
        </w:tc>
        <w:tc>
          <w:tcPr>
            <w:tcW w:type="dxa" w:w="12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5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Daily</w:t>
            </w:r>
          </w:p>
        </w:tc>
        <w:tc>
          <w:tcPr>
            <w:tcW w:type="dxa" w:w="22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Vitamin D deficiency</w:t>
            </w:r>
          </w:p>
        </w:tc>
        <w:tc>
          <w:tcPr>
            <w:tcW w:type="dxa" w:w="194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Active home regimen</w:t>
            </w:r>
          </w:p>
        </w:tc>
      </w:tr>
      <w:tr>
        <w:tc>
          <w:tcPr>
            <w:tcW w:type="dxa" w:w="4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8"/>
              </w:rPr>
              <w:t>17</w:t>
            </w:r>
          </w:p>
        </w:tc>
        <w:tc>
          <w:tcPr>
            <w:tcW w:type="dxa" w:w="172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Levothyroxine</w:t>
            </w:r>
          </w:p>
        </w:tc>
        <w:tc>
          <w:tcPr>
            <w:tcW w:type="dxa" w:w="13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75 mcg</w:t>
            </w:r>
          </w:p>
        </w:tc>
        <w:tc>
          <w:tcPr>
            <w:tcW w:type="dxa" w:w="12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5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Daily, AM, fasting</w:t>
            </w:r>
          </w:p>
        </w:tc>
        <w:tc>
          <w:tcPr>
            <w:tcW w:type="dxa" w:w="22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Hypothyroidism</w:t>
            </w:r>
          </w:p>
        </w:tc>
        <w:tc>
          <w:tcPr>
            <w:tcW w:type="dxa" w:w="194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Active home regimen</w:t>
            </w:r>
          </w:p>
        </w:tc>
      </w:tr>
      <w:tr>
        <w:tc>
          <w:tcPr>
            <w:tcW w:type="dxa" w:w="4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type="dxa" w:w="172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Pantoprazole</w:t>
            </w:r>
          </w:p>
        </w:tc>
        <w:tc>
          <w:tcPr>
            <w:tcW w:type="dxa" w:w="13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40 mg</w:t>
            </w:r>
          </w:p>
        </w:tc>
        <w:tc>
          <w:tcPr>
            <w:tcW w:type="dxa" w:w="12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5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Daily</w:t>
            </w:r>
          </w:p>
        </w:tc>
        <w:tc>
          <w:tcPr>
            <w:tcW w:type="dxa" w:w="22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GERD</w:t>
            </w:r>
          </w:p>
        </w:tc>
        <w:tc>
          <w:tcPr>
            <w:tcW w:type="dxa" w:w="194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Active home regimen</w:t>
            </w:r>
          </w:p>
        </w:tc>
      </w:tr>
      <w:tr>
        <w:tc>
          <w:tcPr>
            <w:tcW w:type="dxa" w:w="4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8"/>
              </w:rPr>
              <w:t>19</w:t>
            </w:r>
          </w:p>
        </w:tc>
        <w:tc>
          <w:tcPr>
            <w:tcW w:type="dxa" w:w="172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Senna</w:t>
            </w:r>
          </w:p>
        </w:tc>
        <w:tc>
          <w:tcPr>
            <w:tcW w:type="dxa" w:w="13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8.6 mg</w:t>
            </w:r>
          </w:p>
        </w:tc>
        <w:tc>
          <w:tcPr>
            <w:tcW w:type="dxa" w:w="12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Oral</w:t>
            </w:r>
          </w:p>
        </w:tc>
        <w:tc>
          <w:tcPr>
            <w:tcW w:type="dxa" w:w="15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Nightly as needed (QHS PRN)</w:t>
            </w:r>
          </w:p>
        </w:tc>
        <w:tc>
          <w:tcPr>
            <w:tcW w:type="dxa" w:w="22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Chronic constipation</w:t>
            </w:r>
          </w:p>
        </w:tc>
        <w:tc>
          <w:tcPr>
            <w:tcW w:type="dxa" w:w="194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Active home regimen</w:t>
            </w:r>
          </w:p>
        </w:tc>
      </w:tr>
      <w:tr>
        <w:tc>
          <w:tcPr>
            <w:tcW w:type="dxa" w:w="4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8"/>
              </w:rPr>
              <w:t>20</w:t>
            </w:r>
          </w:p>
        </w:tc>
        <w:tc>
          <w:tcPr>
            <w:tcW w:type="dxa" w:w="172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Home oxygen</w:t>
            </w:r>
          </w:p>
        </w:tc>
        <w:tc>
          <w:tcPr>
            <w:tcW w:type="dxa" w:w="13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2 L/min</w:t>
            </w:r>
          </w:p>
        </w:tc>
        <w:tc>
          <w:tcPr>
            <w:tcW w:type="dxa" w:w="12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Nasal cannula</w:t>
            </w:r>
          </w:p>
        </w:tc>
        <w:tc>
          <w:tcPr>
            <w:tcW w:type="dxa" w:w="15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Nocturnal and with exertion</w:t>
            </w:r>
          </w:p>
        </w:tc>
        <w:tc>
          <w:tcPr>
            <w:tcW w:type="dxa" w:w="22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Chronic hypoxemia</w:t>
            </w:r>
          </w:p>
        </w:tc>
        <w:tc>
          <w:tcPr>
            <w:tcW w:type="dxa" w:w="194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Active home regimen (DME - Prairie Home Medical Equipment, Inc.)</w:t>
            </w:r>
          </w:p>
        </w:tc>
      </w:tr>
      <w:tr>
        <w:tc>
          <w:tcPr>
            <w:tcW w:type="dxa" w:w="4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center"/>
            </w:pPr>
            <w:r>
              <w:rPr>
                <w:rFonts w:ascii="Arial" w:hAnsi="Arial"/>
                <w:sz w:val="18"/>
              </w:rPr>
              <w:t>21</w:t>
            </w:r>
          </w:p>
        </w:tc>
        <w:tc>
          <w:tcPr>
            <w:tcW w:type="dxa" w:w="172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CPAP</w:t>
            </w:r>
          </w:p>
        </w:tc>
        <w:tc>
          <w:tcPr>
            <w:tcW w:type="dxa" w:w="1368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Device, prescribed home settings</w:t>
            </w:r>
          </w:p>
        </w:tc>
        <w:tc>
          <w:tcPr>
            <w:tcW w:type="dxa" w:w="122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Mask interface</w:t>
            </w:r>
          </w:p>
        </w:tc>
        <w:tc>
          <w:tcPr>
            <w:tcW w:type="dxa" w:w="158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Nightly</w:t>
            </w:r>
          </w:p>
        </w:tc>
        <w:tc>
          <w:tcPr>
            <w:tcW w:type="dxa" w:w="2232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Obstructive sleep apnea</w:t>
            </w:r>
          </w:p>
        </w:tc>
        <w:tc>
          <w:tcPr>
            <w:tcW w:type="dxa" w:w="1944"/>
            <w:vAlign w:val="top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after="0" w:before="0"/>
              <w:jc w:val="left"/>
            </w:pPr>
            <w:r>
              <w:rPr>
                <w:rFonts w:ascii="Arial" w:hAnsi="Arial"/>
                <w:sz w:val="18"/>
              </w:rPr>
              <w:t>Active home regimen (patient-owned device, brought in)</w:t>
            </w:r>
          </w:p>
        </w:tc>
      </w:tr>
    </w:tbl>
    <w:p>
      <w:pPr>
        <w:spacing w:after="40" w:before="0"/>
      </w:pPr>
      <w:r>
        <w:rPr>
          <w:rFonts w:ascii="Arial" w:hAnsi="Arial"/>
          <w:b w:val="0"/>
          <w:sz w:val="18"/>
        </w:rPr>
      </w:r>
    </w:p>
    <w:p>
      <w:pPr>
        <w:spacing w:after="40" w:before="0"/>
      </w:pPr>
      <w:r>
        <w:rPr>
          <w:rFonts w:ascii="Arial" w:hAnsi="Arial"/>
          <w:b/>
          <w:sz w:val="20"/>
        </w:rPr>
        <w:t>Reconciliation Notes</w:t>
      </w:r>
    </w:p>
    <w:p>
      <w:pPr>
        <w:pStyle w:val="ListBullet"/>
        <w:spacing w:after="20" w:before="0"/>
      </w:pPr>
      <w:r>
        <w:rPr>
          <w:rFonts w:ascii="Arial" w:hAnsi="Arial"/>
          <w:sz w:val="18"/>
        </w:rPr>
        <w:t>Patient confirmed each line item with daughter present at bedside; outpatient list cross-walked against most recent fill history from Cedar Falls Community Pharmacy (910 Wycliffe Boulevard, Cedar Falls IL 60481).</w:t>
      </w:r>
    </w:p>
    <w:p>
      <w:pPr>
        <w:pStyle w:val="ListBullet"/>
        <w:spacing w:after="20" w:before="0"/>
      </w:pPr>
      <w:r>
        <w:rPr>
          <w:rFonts w:ascii="Arial" w:hAnsi="Arial"/>
          <w:sz w:val="18"/>
        </w:rPr>
        <w:t>Insulin aspart is the patient's home prandial regimen; no inpatient sliding-scale conversion is implied by this baseline list.</w:t>
      </w:r>
    </w:p>
    <w:p>
      <w:pPr>
        <w:pStyle w:val="ListBullet"/>
        <w:spacing w:after="20" w:before="0"/>
      </w:pPr>
      <w:r>
        <w:rPr>
          <w:rFonts w:ascii="Arial" w:hAnsi="Arial"/>
          <w:sz w:val="18"/>
        </w:rPr>
        <w:t>Home oxygen has been in place chronically at 2 L/min via nasal cannula for nocturnal use and with exertion; resting saturations on room air at home are reported acceptable per patient.</w:t>
      </w:r>
    </w:p>
    <w:p>
      <w:pPr>
        <w:pStyle w:val="ListBullet"/>
        <w:spacing w:after="20" w:before="0"/>
      </w:pPr>
      <w:r>
        <w:rPr>
          <w:rFonts w:ascii="Arial" w:hAnsi="Arial"/>
          <w:sz w:val="18"/>
        </w:rPr>
        <w:t>CPAP device brought in from home; settings to be confirmed by Respiratory Therapy.</w:t>
      </w:r>
    </w:p>
    <w:p>
      <w:pPr>
        <w:pStyle w:val="ListBullet"/>
        <w:spacing w:after="20" w:before="0"/>
      </w:pPr>
      <w:r>
        <w:rPr>
          <w:rFonts w:ascii="Arial" w:hAnsi="Arial"/>
          <w:sz w:val="18"/>
        </w:rPr>
        <w:t>No herbal supplements, OTC NSAIDs, or non-listed agents reported on interview.</w:t>
      </w:r>
    </w:p>
    <w:p>
      <w:pPr>
        <w:spacing w:after="40" w:before="0"/>
      </w:pPr>
      <w:r>
        <w:rPr>
          <w:rFonts w:ascii="Arial" w:hAnsi="Arial"/>
          <w:b w:val="0"/>
          <w:sz w:val="18"/>
        </w:rPr>
      </w:r>
    </w:p>
    <w:p>
      <w:pPr>
        <w:spacing w:after="40" w:before="0"/>
      </w:pPr>
      <w:r>
        <w:rPr>
          <w:rFonts w:ascii="Arial" w:hAnsi="Arial"/>
          <w:b/>
          <w:sz w:val="20"/>
        </w:rPr>
        <w:t>Footer / Cross-Reference</w:t>
      </w:r>
    </w:p>
    <w:p>
      <w:pPr>
        <w:spacing w:after="120" w:before="0"/>
      </w:pPr>
      <w:r>
        <w:rPr>
          <w:rFonts w:ascii="Arial" w:hAnsi="Arial"/>
          <w:b w:val="0"/>
          <w:sz w:val="18"/>
        </w:rPr>
        <w:t>For inpatient medication changes (continuations, dose adjustments, conversions, and admission-related holds) following this baseline capture, refer to the admission medication reconciliation order set and the hospitalist admission H&amp;P (06/13/2025). Active inpatient orders are maintained in the EMR active-order view and should be reconciled against this baseline at every transition of care.</w:t>
      </w:r>
    </w:p>
    <w:p>
      <w:pPr>
        <w:spacing w:after="0"/>
        <w:jc w:val="center"/>
      </w:pPr>
      <w:r>
        <w:rPr>
          <w:rFonts w:ascii="Arial" w:hAnsi="Arial"/>
          <w:i/>
          <w:sz w:val="16"/>
        </w:rPr>
        <w:t>End of pre-admission home medication list - Lydell, Marva - MRN ML-7782304 - 06/13/2025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