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ourier New" w:hAnsi="Courier New"/>
          <w:b/>
          <w:sz w:val="24"/>
        </w:rPr>
        <w:t>PHYSICIAN ORDERS</w:t>
      </w:r>
    </w:p>
    <w:p>
      <w:pPr>
        <w:spacing w:after="80" w:before="0"/>
      </w:pPr>
      <w:r>
        <w:rPr>
          <w:rFonts w:ascii="Courier New" w:hAnsi="Courier New"/>
          <w:sz w:val="20"/>
        </w:rPr>
        <w:t>Sanctum Regional Medical Center | Hospital Medicine | 06/13/2025 19:05</w:t>
      </w:r>
    </w:p>
    <w:p>
      <w:pPr>
        <w:spacing w:after="0" w:before="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40" w:before="0"/>
      </w:pP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ORDER SET: Medication Hold -- Admission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Patient: </w:t>
      </w:r>
      <w:r>
        <w:rPr>
          <w:rFonts w:ascii="Courier New" w:hAnsi="Courier New"/>
          <w:sz w:val="20"/>
        </w:rPr>
        <w:t>Lydell, Marva    MRN: ML-7782304    DOB: 04/22/1953 (72 y)    Sex: F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Encounter CSN: </w:t>
      </w:r>
      <w:r>
        <w:rPr>
          <w:rFonts w:ascii="Courier New" w:hAnsi="Courier New"/>
          <w:sz w:val="20"/>
        </w:rPr>
        <w:t>ENC-20250613-7782304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Unit / Room: </w:t>
      </w:r>
      <w:r>
        <w:rPr>
          <w:rFonts w:ascii="Courier New" w:hAnsi="Courier New"/>
          <w:sz w:val="20"/>
        </w:rPr>
        <w:t>Medical-Surgical Unit 4 West / Room 4W-218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Ordering provider: </w:t>
      </w:r>
      <w:r>
        <w:rPr>
          <w:rFonts w:ascii="Courier New" w:hAnsi="Courier New"/>
          <w:sz w:val="20"/>
        </w:rPr>
        <w:t>Marcus Thorne, MD -- Hospitalist Attending (NPI 1750284619)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 xml:space="preserve">Entered: </w:t>
      </w:r>
      <w:r>
        <w:rPr>
          <w:rFonts w:ascii="Courier New" w:hAnsi="Courier New"/>
          <w:sz w:val="20"/>
        </w:rPr>
        <w:t>06/13/2025 19:05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Allergies: </w:t>
      </w:r>
      <w:r>
        <w:rPr>
          <w:rFonts w:ascii="Courier New" w:hAnsi="Courier New"/>
          <w:sz w:val="20"/>
        </w:rPr>
        <w:t>Lisinopril / ACE inhibitor class -- angioedema (severe,</w:t>
      </w:r>
    </w:p>
    <w:p>
      <w:pPr>
        <w:spacing w:after="80" w:before="0"/>
      </w:pPr>
      <w:r>
        <w:rPr>
          <w:rFonts w:ascii="Courier New" w:hAnsi="Courier New"/>
          <w:sz w:val="20"/>
        </w:rPr>
        <w:t>documented). ARB (losartan) maintained outpatient in place of ACE inhibitor.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Clinical context: </w:t>
      </w:r>
      <w:r>
        <w:rPr>
          <w:rFonts w:ascii="Courier New" w:hAnsi="Courier New"/>
          <w:sz w:val="20"/>
        </w:rPr>
        <w:t>Acute decompensated HFpEF with cardiorenal AKI on</w:t>
      </w:r>
    </w:p>
    <w:p>
      <w:pPr>
        <w:spacing w:after="0" w:before="0"/>
      </w:pPr>
      <w:r>
        <w:rPr>
          <w:rFonts w:ascii="Courier New" w:hAnsi="Courier New"/>
          <w:sz w:val="20"/>
        </w:rPr>
        <w:t>CKD 3b-4 (admission creatinine 2.6 mg/dL vs baseline ~1.7; eGFR baseline</w:t>
      </w:r>
    </w:p>
    <w:p>
      <w:pPr>
        <w:spacing w:after="0" w:before="0"/>
      </w:pPr>
      <w:r>
        <w:rPr>
          <w:rFonts w:ascii="Courier New" w:hAnsi="Courier New"/>
          <w:sz w:val="20"/>
        </w:rPr>
        <w:t>~30; K 4.8 on admission). Outpatient cardiorenal and diabetes oral agents</w:t>
      </w:r>
    </w:p>
    <w:p>
      <w:pPr>
        <w:spacing w:after="80" w:before="0"/>
      </w:pPr>
      <w:r>
        <w:rPr>
          <w:rFonts w:ascii="Courier New" w:hAnsi="Courier New"/>
          <w:sz w:val="20"/>
        </w:rPr>
        <w:t>held on admission as detailed below pending renal recovery.</w:t>
      </w:r>
    </w:p>
    <w:p>
      <w:pPr>
        <w:spacing w:after="0" w:before="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40" w:before="0"/>
      </w:pPr>
    </w:p>
    <w:p>
      <w:pPr>
        <w:spacing w:after="80" w:before="0"/>
      </w:pPr>
      <w:r>
        <w:rPr>
          <w:rFonts w:ascii="Courier New" w:hAnsi="Courier New"/>
          <w:b/>
          <w:sz w:val="20"/>
        </w:rPr>
        <w:t>MEDICATION HOLD ORDERS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1. HOLD empagliflozin 10 mg PO daily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Action: </w:t>
      </w:r>
      <w:r>
        <w:rPr>
          <w:rFonts w:ascii="Courier New" w:hAnsi="Courier New"/>
          <w:sz w:val="20"/>
        </w:rPr>
        <w:t>HOLD -- outpatient agent suspended for this admission.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Indication on home regimen: HFpEF, CKD, type 2 diabetes.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Reason for hold: Acute illness and AKI on CKD. SGLT2 inhibitor held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during acute kidney injury and acute decompensation.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Restart criteria: Parameter-gated. Restart requires nephrology and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primary care judgment with eGFR sustained &gt;=30 mL/min/1.73 m2 on at least two outpatient measurements; not to be resumed during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this admission without nephrology concurrence. Restart decision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deferred to outpatient cardiorenal follow-up.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Owner of restart decision: Nephrology (Dr. Beatrix Lund, Riverbend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Nephrology Group) in coordination with primary care (Dr. Helena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Briarwood, MD).</w:t>
      </w:r>
    </w:p>
    <w:p>
      <w:pPr>
        <w:spacing w:after="120" w:before="0"/>
      </w:pPr>
      <w:r>
        <w:rPr>
          <w:rFonts w:ascii="Courier New" w:hAnsi="Courier New"/>
          <w:sz w:val="20"/>
        </w:rPr>
        <w:t xml:space="preserve">   - Signed: Marcus Thorne, MD -- 06/13/2025 19:05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2. HOLD spironolactone 25 mg PO daily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Action: HOLD -- outpatient agent suspended for this admission.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Indication on home regimen: HFpEF (mineralocorticoid receptor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antagonist).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Reason for hold: AKI and potassium monitoring. K 4.8 mEq/L on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admission with acute kidney injury; risk of hyperkalemia in setting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of cardiorenal physiology.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Restart criteria: Parameter-gated. Restart requires creatinine at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or near baseline (~1.7-1.8 mg/dL) and K &lt;4.8 mEq/L, under nephrology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judgment. Do not restart during this admission absent explicit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nephrology order.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Owner of restart decision: Nephrology (Dr. Beatrix Lund), with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primary care notification.</w:t>
      </w:r>
    </w:p>
    <w:p>
      <w:pPr>
        <w:spacing w:after="120" w:before="0"/>
      </w:pPr>
      <w:r>
        <w:rPr>
          <w:rFonts w:ascii="Courier New" w:hAnsi="Courier New"/>
          <w:sz w:val="20"/>
        </w:rPr>
        <w:t xml:space="preserve">   - Signed: Marcus Thorne, MD -- 06/13/2025 19:05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3. HOLD losartan 50 mg PO daily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Action: HOLD -- outpatient agent suspended for this admission.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Indication on home regimen: Hypertension. Patient is ACE-intolerant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due to documented angioedema; ARB is the maintained antihypertensive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in place of an ACE inhibitor.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Reason for hold: AKI on CKD. ARB held due to renal injury; given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documented ACE-inhibitor angioedema, substitution to an ACE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inhibitor is contraindicated.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Restart criteria: Parameter-gated. Restart when creatinine returns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to baseline (~1.7-1.8 mg/dL) and potassium remains stable &lt;5.0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mEq/L. Restart decision tied to renal recovery, not to blood-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pressure trend alone.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Owner of restart decision: Nephrology (Dr. Beatrix Lund) in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coordination with primary care (Dr. Helena Briarwood, MD).</w:t>
      </w:r>
    </w:p>
    <w:p>
      <w:pPr>
        <w:spacing w:after="120" w:before="0"/>
      </w:pPr>
      <w:r>
        <w:rPr>
          <w:rFonts w:ascii="Courier New" w:hAnsi="Courier New"/>
          <w:sz w:val="20"/>
        </w:rPr>
        <w:t xml:space="preserve">   - Signed: Marcus Thorne, MD -- 06/13/2025 19:05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4. HOLD metformin 1000 mg PO BID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Action: HOLD -- outpatient agent suspended for this admission.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Indication on home regimen: Type 2 diabetes mellitus.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Reason for hold: AKI / impaired renal clearance during acute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illness. Inpatient glycemia to be managed with basal (insulin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glargine 24 units SC nightly, intake-adjusted) and prandial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sliding-scale insulin per inpatient protocol; sliding-scale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prandial is inpatient-only and is not a home regimen.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Restart criteria: Parameter-gated. Restart when eGFR &gt;=30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mL/min/1.73m^2 sustained, with concurrent primary care and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endocrine judgment.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- Owner of restart decision: Primary care (Dr. Helena Briarwood, MD)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   with endocrine input as needed.</w:t>
      </w:r>
    </w:p>
    <w:p>
      <w:pPr>
        <w:spacing w:after="120" w:before="0"/>
      </w:pPr>
      <w:r>
        <w:rPr>
          <w:rFonts w:ascii="Courier New" w:hAnsi="Courier New"/>
          <w:sz w:val="20"/>
        </w:rPr>
        <w:t xml:space="preserve">   - Signed: Marcus Thorne, MD -- 06/13/2025 19:05</w:t>
      </w:r>
    </w:p>
    <w:p>
      <w:pPr>
        <w:spacing w:after="0" w:before="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40" w:before="0"/>
      </w:pPr>
    </w:p>
    <w:p>
      <w:pPr>
        <w:spacing w:after="40" w:before="0"/>
      </w:pPr>
      <w:r>
        <w:rPr>
          <w:rFonts w:ascii="Courier New" w:hAnsi="Courier New"/>
          <w:b/>
          <w:sz w:val="20"/>
        </w:rPr>
        <w:t>MONITORING / PARAMETERS</w:t>
      </w:r>
    </w:p>
    <w:p>
      <w:pPr>
        <w:spacing w:after="0" w:before="0"/>
      </w:pPr>
      <w:r>
        <w:rPr>
          <w:rFonts w:ascii="Courier New" w:hAnsi="Courier New"/>
          <w:sz w:val="20"/>
        </w:rPr>
        <w:t>- Daily basic metabolic panel during this admission with attention to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creatinine, BUN, potassium, and bicarbonate trends.</w:t>
      </w:r>
    </w:p>
    <w:p>
      <w:pPr>
        <w:spacing w:after="0" w:before="0"/>
      </w:pPr>
      <w:r>
        <w:rPr>
          <w:rFonts w:ascii="Courier New" w:hAnsi="Courier New"/>
          <w:sz w:val="20"/>
        </w:rPr>
        <w:t>- Strict intake/output and daily standing weights.</w:t>
      </w:r>
    </w:p>
    <w:p>
      <w:pPr>
        <w:spacing w:after="0" w:before="0"/>
      </w:pPr>
      <w:r>
        <w:rPr>
          <w:rFonts w:ascii="Courier New" w:hAnsi="Courier New"/>
          <w:sz w:val="20"/>
        </w:rPr>
        <w:t>- Continuous telemetry per separate order (atrial fibrillation, rate-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controlled).</w:t>
      </w:r>
    </w:p>
    <w:p>
      <w:pPr>
        <w:spacing w:after="0" w:before="0"/>
      </w:pPr>
      <w:r>
        <w:rPr>
          <w:rFonts w:ascii="Courier New" w:hAnsi="Courier New"/>
          <w:sz w:val="20"/>
        </w:rPr>
        <w:t>- Notify hospitalist for K &gt;=5.5 mEq/L, K &lt;=3.3 mEq/L, creatinine rise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&gt;=0.3 mg/dL over 24 hours, urine output &lt;0.5 mL/kg/hr over 6 hours, or</w:t>
      </w:r>
    </w:p>
    <w:p>
      <w:pPr>
        <w:spacing w:after="0" w:before="0"/>
      </w:pPr>
      <w:r>
        <w:rPr>
          <w:rFonts w:ascii="Courier New" w:hAnsi="Courier New"/>
          <w:sz w:val="20"/>
        </w:rPr>
        <w:t xml:space="preserve">  symptomatic hypotension.</w:t>
      </w:r>
    </w:p>
    <w:p>
      <w:pPr>
        <w:spacing w:after="0" w:before="0"/>
      </w:pPr>
      <w:r>
        <w:rPr>
          <w:rFonts w:ascii="Courier New" w:hAnsi="Courier New"/>
          <w:sz w:val="20"/>
        </w:rPr>
        <w:t>- Nephrology consult placed (Dr. Beatrix Lund) for cardiorenal AKI</w:t>
      </w:r>
    </w:p>
    <w:p>
      <w:pPr>
        <w:spacing w:after="120" w:before="0"/>
      </w:pPr>
      <w:r>
        <w:rPr>
          <w:rFonts w:ascii="Courier New" w:hAnsi="Courier New"/>
          <w:sz w:val="20"/>
        </w:rPr>
        <w:t xml:space="preserve">  co-management.</w:t>
      </w:r>
    </w:p>
    <w:p>
      <w:pPr>
        <w:spacing w:after="0" w:before="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40" w:before="0"/>
      </w:pPr>
    </w:p>
    <w:p>
      <w:pPr>
        <w:spacing w:after="40" w:before="0"/>
      </w:pPr>
      <w:r>
        <w:rPr>
          <w:rFonts w:ascii="Courier New" w:hAnsi="Courier New"/>
          <w:b/>
          <w:sz w:val="20"/>
        </w:rPr>
        <w:t>FOOTER NOTE -- RESTART OWNERSHIP</w:t>
      </w:r>
    </w:p>
    <w:p>
      <w:pPr>
        <w:spacing w:after="0" w:before="0"/>
      </w:pPr>
      <w:r>
        <w:rPr>
          <w:rFonts w:ascii="Courier New" w:hAnsi="Courier New"/>
          <w:sz w:val="20"/>
        </w:rPr>
        <w:t>These holds are signed deferred-restart parameter-gated decisions assigned</w:t>
      </w:r>
    </w:p>
    <w:p>
      <w:pPr>
        <w:spacing w:after="0" w:before="0"/>
      </w:pPr>
      <w:r>
        <w:rPr>
          <w:rFonts w:ascii="Courier New" w:hAnsi="Courier New"/>
          <w:sz w:val="20"/>
        </w:rPr>
        <w:t>to nephrology and primary care. They are NOT silent resumes and NOT silent</w:t>
      </w:r>
    </w:p>
    <w:p>
      <w:pPr>
        <w:spacing w:after="0" w:before="0"/>
      </w:pPr>
      <w:r>
        <w:rPr>
          <w:rFonts w:ascii="Courier New" w:hAnsi="Courier New"/>
          <w:sz w:val="20"/>
        </w:rPr>
        <w:t>stops. Each held agent listed above remains held until the listed restart</w:t>
      </w:r>
    </w:p>
    <w:p>
      <w:pPr>
        <w:spacing w:after="0" w:before="0"/>
      </w:pPr>
      <w:r>
        <w:rPr>
          <w:rFonts w:ascii="Courier New" w:hAnsi="Courier New"/>
          <w:sz w:val="20"/>
        </w:rPr>
        <w:t>parameters are met AND the named owner (nephrology and/or primary care)</w:t>
      </w:r>
    </w:p>
    <w:p>
      <w:pPr>
        <w:spacing w:after="0" w:before="0"/>
      </w:pPr>
      <w:r>
        <w:rPr>
          <w:rFonts w:ascii="Courier New" w:hAnsi="Courier New"/>
          <w:sz w:val="20"/>
        </w:rPr>
        <w:t>makes an explicit restart decision documented in the chart. </w:t>
      </w:r>
    </w:p>
    <w:p>
      <w:pPr>
        <w:spacing w:after="0" w:before="0"/>
      </w:pPr>
      <w:r>
        <w:rPr>
          <w:rFonts w:ascii="Courier New" w:hAnsi="Courier New"/>
          <w:sz w:val="20"/>
        </w:rPr>
        <w:t/>
      </w:r>
    </w:p>
    <w:p>
      <w:pPr>
        <w:spacing w:after="0" w:before="0"/>
      </w:pPr>
      <w:r>
        <w:rPr>
          <w:rFonts w:ascii="Courier New" w:hAnsi="Courier New"/>
          <w:sz w:val="20"/>
        </w:rPr>
        <w:t/>
      </w:r>
    </w:p>
    <w:p>
      <w:pPr>
        <w:spacing w:after="0" w:before="0"/>
      </w:pPr>
      <w:r>
        <w:rPr>
          <w:rFonts w:ascii="Courier New" w:hAnsi="Courier New"/>
          <w:sz w:val="20"/>
        </w:rPr>
        <w:t/>
      </w:r>
    </w:p>
    <w:p>
      <w:pPr>
        <w:spacing w:after="0" w:before="0"/>
      </w:pPr>
      <w:r>
        <w:rPr>
          <w:rFonts w:ascii="Courier New" w:hAnsi="Courier New"/>
          <w:sz w:val="20"/>
        </w:rPr>
        <w:t/>
      </w:r>
    </w:p>
    <w:p>
      <w:pPr>
        <w:spacing w:after="120" w:before="0"/>
      </w:pPr>
      <w:r>
        <w:rPr>
          <w:rFonts w:ascii="Courier New" w:hAnsi="Courier New"/>
          <w:sz w:val="20"/>
        </w:rPr>
        <w:t/>
      </w:r>
    </w:p>
    <w:p>
      <w:pPr>
        <w:spacing w:after="0" w:before="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40" w:before="0"/>
      </w:pPr>
    </w:p>
    <w:p>
      <w:pPr>
        <w:spacing w:after="40" w:before="0"/>
      </w:pPr>
      <w:r>
        <w:rPr>
          <w:rFonts w:ascii="Courier New" w:hAnsi="Courier New"/>
          <w:b/>
          <w:sz w:val="20"/>
        </w:rPr>
        <w:t>AUTHENTICATION</w:t>
      </w:r>
    </w:p>
    <w:p>
      <w:pPr>
        <w:spacing w:after="0" w:before="0"/>
      </w:pPr>
      <w:r>
        <w:rPr>
          <w:rFonts w:ascii="Courier New" w:hAnsi="Courier New"/>
          <w:sz w:val="20"/>
        </w:rPr>
        <w:t>Electronically signed by Marcus Thorne, MD -- Hospitalist Attending,</w:t>
      </w:r>
    </w:p>
    <w:p>
      <w:pPr>
        <w:spacing w:after="80" w:before="0"/>
      </w:pPr>
      <w:r>
        <w:rPr>
          <w:rFonts w:ascii="Courier New" w:hAnsi="Courier New"/>
          <w:sz w:val="20"/>
        </w:rPr>
        <w:t>Sanctum Regional Medical Center Hospital Medicine -- NPI 1750284619</w:t>
      </w:r>
    </w:p>
    <w:p>
      <w:pPr>
        <w:spacing w:after="40" w:before="0"/>
      </w:pPr>
      <w:r>
        <w:rPr>
          <w:rFonts w:ascii="Courier New" w:hAnsi="Courier New"/>
          <w:sz w:val="20"/>
        </w:rPr>
        <w:t>Signed: 06/13/2025 19:05</w:t>
      </w:r>
    </w:p>
    <w:p>
      <w:pPr>
        <w:spacing w:after="0" w:before="0"/>
      </w:pPr>
      <w:r>
        <w:rPr>
          <w:rFonts w:ascii="Courier New" w:hAnsi="Courier New"/>
          <w:sz w:val="20"/>
        </w:rPr>
        <w:t>Order entry route: Inpatient CPOE, Sanctum Regional Medical Center,</w:t>
      </w:r>
    </w:p>
    <w:p>
      <w:pPr>
        <w:spacing w:after="0" w:before="0"/>
      </w:pPr>
      <w:r>
        <w:rPr>
          <w:rFonts w:ascii="Courier New" w:hAnsi="Courier New"/>
          <w:sz w:val="20"/>
        </w:rPr>
        <w:t>Hospital Medicine service.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