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ourier New" w:hAnsi="Courier New"/>
          <w:b/>
          <w:sz w:val="24"/>
        </w:rPr>
        <w:t>PATIENT EDUCATION DOCUMENTATION</w:t>
      </w:r>
    </w:p>
    <w:p>
      <w:pPr>
        <w:spacing w:after="120" w:before="0"/>
      </w:pPr>
      <w:r>
        <w:rPr>
          <w:rFonts w:ascii="Courier New" w:hAnsi="Courier New"/>
          <w:b/>
          <w:sz w:val="20"/>
        </w:rPr>
        <w:t>PATIENT EDUCATION NOTE - HEART FAILURE SELF-MANAGEMENT HANDOUT</w:t>
      </w:r>
    </w:p>
    <w:p>
      <w:pPr>
        <w:spacing w:after="0" w:before="0"/>
      </w:pPr>
      <w:r>
        <w:rPr>
          <w:rFonts w:ascii="Courier New" w:hAnsi="Courier New"/>
          <w:sz w:val="20"/>
        </w:rPr>
        <w:t>Patient: Lydell, Marva                MRN: ML-7782304        DOB: 04/22/1953</w:t>
      </w:r>
    </w:p>
    <w:p>
      <w:pPr>
        <w:spacing w:after="0" w:before="0"/>
      </w:pPr>
      <w:r>
        <w:rPr>
          <w:rFonts w:ascii="Courier New" w:hAnsi="Courier New"/>
          <w:sz w:val="20"/>
        </w:rPr>
        <w:t>Date: 06/19/2025 16:40 | Educator: Rosamel Yenko, RN, BSN, Heart-Failure Educator</w:t>
      </w:r>
    </w:p>
    <w:p>
      <w:pPr>
        <w:spacing w:after="120" w:before="0"/>
      </w:pPr>
      <w:r>
        <w:rPr>
          <w:rFonts w:ascii="Courier New" w:hAnsi="Courier New"/>
          <w:sz w:val="20"/>
        </w:rPr>
        <w:t>Unit / Room: 4 West Med-Surg / Room 4W-218</w:t>
      </w:r>
    </w:p>
    <w:p>
      <w:pPr>
        <w:spacing w:after="120" w:before="0"/>
      </w:pPr>
      <w:r>
        <w:rPr>
          <w:rFonts w:ascii="Courier New" w:hAnsi="Courier New"/>
          <w:b w:val="0"/>
          <w:sz w:val="20"/>
        </w:rPr>
        <w:t xml:space="preserve">TOPIC: </w:t>
      </w:r>
      <w:r>
        <w:rPr>
          <w:rFonts w:ascii="Courier New" w:hAnsi="Courier New"/>
          <w:sz w:val="20"/>
        </w:rPr>
        <w:t>Heart Failure with Preserved Ejection Fraction (HFpEF) - standard inpatient self-management handout issued at bedside; printed copy left with patient and a second copy provided to daughter.</w:t>
      </w:r>
    </w:p>
    <w:p>
      <w:pPr>
        <w:spacing w:after="120" w:before="0"/>
      </w:pPr>
      <w:r>
        <w:rPr>
          <w:rFonts w:ascii="Courier New" w:hAnsi="Courier New"/>
          <w:b w:val="0"/>
          <w:sz w:val="20"/>
        </w:rPr>
        <w:t xml:space="preserve">LEARNER: </w:t>
      </w:r>
      <w:r>
        <w:rPr>
          <w:rFonts w:ascii="Courier New" w:hAnsi="Courier New"/>
          <w:sz w:val="20"/>
        </w:rPr>
        <w:t>Patient (Marva Lydell) AND family member Tanielle Lydell, daughter and primary lay caregiver, present at bedside throughout the session.</w:t>
      </w:r>
    </w:p>
    <w:p>
      <w:pPr>
        <w:spacing w:after="120" w:before="0"/>
      </w:pPr>
      <w:r>
        <w:rPr>
          <w:rFonts w:ascii="Courier New" w:hAnsi="Courier New"/>
          <w:b w:val="0"/>
          <w:sz w:val="20"/>
        </w:rPr>
        <w:t xml:space="preserve">METHOD: </w:t>
      </w:r>
      <w:r>
        <w:rPr>
          <w:rFonts w:ascii="Courier New" w:hAnsi="Courier New"/>
          <w:sz w:val="20"/>
        </w:rPr>
        <w:t>Written handout reviewed page-by-page; verbal teach-back at each section; brief demonstration with the bedside scale and the room's flow-meter; pictorial fluid-intake reference card supplied. Session duration approximately 35 minutes.</w:t>
      </w:r>
    </w:p>
    <w:p>
      <w:pPr>
        <w:spacing w:after="120" w:before="0"/>
      </w:pPr>
      <w:r>
        <w:rPr>
          <w:rFonts w:ascii="Courier New" w:hAnsi="Courier New"/>
          <w:b w:val="0"/>
          <w:sz w:val="20"/>
        </w:rPr>
        <w:t xml:space="preserve">BARRIERS: </w:t>
      </w:r>
      <w:r>
        <w:rPr>
          <w:rFonts w:ascii="Courier New" w:hAnsi="Courier New"/>
          <w:sz w:val="20"/>
        </w:rPr>
        <w:t>No language barrier (English preferred). Mild fatigue late in the session; medication regimen complexity and portable-oxygen self-management identified as comprehension barriers (see below).</w:t>
      </w:r>
    </w:p>
    <w:p>
      <w:pPr>
        <w:spacing w:after="80" w:before="0"/>
      </w:pPr>
      <w:r>
        <w:rPr>
          <w:rFonts w:ascii="Courier New" w:hAnsi="Courier New"/>
          <w:b/>
          <w:sz w:val="20"/>
        </w:rPr>
        <w:t>CONTENT TAUGHT (per standard HFpEF handout checklist):</w:t>
      </w:r>
    </w:p>
    <w:p>
      <w:pPr>
        <w:spacing w:after="60" w:before="0"/>
        <w:ind w:left="432" w:hanging="432"/>
      </w:pPr>
      <w:r>
        <w:rPr>
          <w:rFonts w:ascii="Courier New" w:hAnsi="Courier New"/>
          <w:sz w:val="20"/>
        </w:rPr>
        <w:t xml:space="preserve">1. </w:t>
      </w:r>
      <w:r>
        <w:rPr>
          <w:rFonts w:ascii="Courier New" w:hAnsi="Courier New"/>
          <w:i/>
          <w:sz w:val="20"/>
        </w:rPr>
        <w:t>Low-sodium diet, 1.5-2 g sodium per day.</w:t>
      </w:r>
      <w:r>
        <w:rPr>
          <w:rFonts w:ascii="Courier New" w:hAnsi="Courier New"/>
          <w:sz w:val="20"/>
        </w:rPr>
        <w:t xml:space="preserve"> Reviewed label reading, restaurant pitfalls, and the inpatient 1.5 g tray as a reference model. Daughter took notes on home grocery substitutions.</w:t>
      </w:r>
    </w:p>
    <w:p>
      <w:pPr>
        <w:spacing w:after="60" w:before="0"/>
        <w:ind w:left="432" w:hanging="432"/>
      </w:pPr>
      <w:r>
        <w:rPr>
          <w:rFonts w:ascii="Courier New" w:hAnsi="Courier New"/>
          <w:sz w:val="20"/>
        </w:rPr>
        <w:t xml:space="preserve">2. </w:t>
      </w:r>
      <w:r>
        <w:rPr>
          <w:rFonts w:ascii="Courier New" w:hAnsi="Courier New"/>
          <w:i/>
          <w:sz w:val="20"/>
        </w:rPr>
        <w:t>Fluid restriction approximately 1.5 L per day.</w:t>
      </w:r>
      <w:r>
        <w:rPr>
          <w:rFonts w:ascii="Courier New" w:hAnsi="Courier New"/>
          <w:sz w:val="20"/>
        </w:rPr>
        <w:t xml:space="preserve"> Reviewed how to portion the daily allowance across the day; pictorial cup-equivalents card provided.</w:t>
      </w:r>
    </w:p>
    <w:p>
      <w:pPr>
        <w:spacing w:after="60" w:before="0"/>
        <w:ind w:left="432" w:hanging="432"/>
      </w:pPr>
      <w:r>
        <w:rPr>
          <w:rFonts w:ascii="Courier New" w:hAnsi="Courier New"/>
          <w:sz w:val="20"/>
        </w:rPr>
        <w:t xml:space="preserve">3. </w:t>
      </w:r>
      <w:r>
        <w:rPr>
          <w:rFonts w:ascii="Courier New" w:hAnsi="Courier New"/>
          <w:i/>
          <w:sz w:val="20"/>
        </w:rPr>
        <w:t>Daily morning weight measurement and reporting parameters.</w:t>
      </w:r>
      <w:r>
        <w:rPr>
          <w:rFonts w:ascii="Courier New" w:hAnsi="Courier New"/>
          <w:sz w:val="20"/>
        </w:rPr>
        <w:t xml:space="preserve"> Same scale, same time of day, after voiding, before breakfast, in similar clothing. Report to provider any gain greater than 2 lb overnight or greater than 5 lb in a week. Patient performed a return demonstration on the bedside scale.</w:t>
      </w:r>
    </w:p>
    <w:p>
      <w:pPr>
        <w:spacing w:after="60" w:before="0"/>
        <w:ind w:left="432" w:hanging="432"/>
      </w:pPr>
      <w:r>
        <w:rPr>
          <w:rFonts w:ascii="Courier New" w:hAnsi="Courier New"/>
          <w:sz w:val="20"/>
        </w:rPr>
        <w:t xml:space="preserve">4. </w:t>
      </w:r>
      <w:r>
        <w:rPr>
          <w:rFonts w:ascii="Courier New" w:hAnsi="Courier New"/>
          <w:i/>
          <w:sz w:val="20"/>
        </w:rPr>
        <w:t>Medication adherence.</w:t>
      </w:r>
      <w:r>
        <w:rPr>
          <w:rFonts w:ascii="Courier New" w:hAnsi="Courier New"/>
          <w:sz w:val="20"/>
        </w:rPr>
        <w:t xml:space="preserve"> Reviewed each continued home medication. Hold status of empagliflozin, spironolactone, losartan, and metformin was discussed explicitly: these agents remain held and are parameter-gated to renal recovery, with restart timing owned by nephrology and primary care at outpatient follow-up. Patient and daughter were instructed clearly that the patient should NOT self-resume any held agent based on feeling better, on the outside pharmacy list, or on a community refill prompt - restart is a clinician decision against repeat labs.</w:t>
      </w:r>
    </w:p>
    <w:p>
      <w:pPr>
        <w:spacing w:after="60" w:before="0"/>
        <w:ind w:left="432" w:hanging="432"/>
      </w:pPr>
      <w:r>
        <w:rPr>
          <w:rFonts w:ascii="Courier New" w:hAnsi="Courier New"/>
          <w:sz w:val="20"/>
        </w:rPr>
        <w:t xml:space="preserve">5. </w:t>
      </w:r>
      <w:r>
        <w:rPr>
          <w:rFonts w:ascii="Courier New" w:hAnsi="Courier New"/>
          <w:i/>
          <w:sz w:val="20"/>
        </w:rPr>
        <w:t>Home oxygen use and safety.</w:t>
      </w:r>
      <w:r>
        <w:rPr>
          <w:rFonts w:ascii="Courier New" w:hAnsi="Courier New"/>
          <w:sz w:val="20"/>
        </w:rPr>
        <w:t xml:space="preserve"> Nocturnal and exertional baseline reviewed; portable-oxygen requirement for ambulation introduced. Safety items reviewed: no open flame within 10 feet, no smoking in the home, tubing-management to prevent falls, cylinder change-out basics. Setup-and-carry handling remains incompletely mastered; planned for re-attempt with OT once portable equipment is at bedside.</w:t>
      </w:r>
    </w:p>
    <w:p>
      <w:pPr>
        <w:spacing w:after="60" w:before="0"/>
        <w:ind w:left="432" w:hanging="432"/>
      </w:pPr>
      <w:r>
        <w:rPr>
          <w:rFonts w:ascii="Courier New" w:hAnsi="Courier New"/>
          <w:sz w:val="20"/>
        </w:rPr>
        <w:t xml:space="preserve">6. </w:t>
      </w:r>
      <w:r>
        <w:rPr>
          <w:rFonts w:ascii="Courier New" w:hAnsi="Courier New"/>
          <w:i/>
          <w:sz w:val="20"/>
        </w:rPr>
        <w:t>Smoke and irritant avoidance.</w:t>
      </w:r>
      <w:r>
        <w:rPr>
          <w:rFonts w:ascii="Courier New" w:hAnsi="Courier New"/>
          <w:sz w:val="20"/>
        </w:rPr>
        <w:t xml:space="preserve"> Household smoke, cooking fumes, aerosol cleaners, and outdoor air-quality alerts reviewed.</w:t>
      </w:r>
    </w:p>
    <w:p>
      <w:pPr>
        <w:spacing w:after="60" w:before="0"/>
        <w:ind w:left="432" w:hanging="432"/>
      </w:pPr>
      <w:r>
        <w:rPr>
          <w:rFonts w:ascii="Courier New" w:hAnsi="Courier New"/>
          <w:sz w:val="20"/>
        </w:rPr>
        <w:t xml:space="preserve">7. </w:t>
      </w:r>
      <w:r>
        <w:rPr>
          <w:rFonts w:ascii="Courier New" w:hAnsi="Courier New"/>
          <w:i/>
          <w:sz w:val="20"/>
        </w:rPr>
        <w:t>Recognizing warning signs of decompensation.</w:t>
      </w:r>
      <w:r>
        <w:rPr>
          <w:rFonts w:ascii="Courier New" w:hAnsi="Courier New"/>
          <w:sz w:val="20"/>
        </w:rPr>
        <w:t xml:space="preserve"> Increasing dyspnea, orthopnea, PND, new or worsening edema, weight gain crossing the thresholds above, lightheadedness, or chest pain - call provider or seek emergency care as appropriate. Cedar Falls Internal Medicine Associates after-hours number written on the handout.</w:t>
      </w:r>
    </w:p>
    <w:p>
      <w:pPr>
        <w:spacing w:after="60" w:before="0"/>
      </w:pPr>
      <w:r>
        <w:rPr>
          <w:rFonts w:ascii="Courier New" w:hAnsi="Courier New"/>
          <w:sz w:val="20"/>
        </w:rPr>
      </w:r>
    </w:p>
    <w:p>
      <w:pPr>
        <w:spacing w:after="80" w:before="0"/>
      </w:pPr>
      <w:r>
        <w:rPr>
          <w:rFonts w:ascii="Courier New" w:hAnsi="Courier New"/>
          <w:b/>
          <w:sz w:val="20"/>
        </w:rPr>
        <w:t>COMPREHENSION:</w:t>
      </w:r>
    </w:p>
    <w:p>
      <w:pPr>
        <w:spacing w:after="120" w:before="0"/>
      </w:pPr>
      <w:r>
        <w:rPr>
          <w:rFonts w:ascii="Courier New" w:hAnsi="Courier New"/>
          <w:sz w:val="20"/>
        </w:rPr>
        <w:t>Patient understanding rated as partial. Diet, fluid restriction, daily morning weight measurement, and warning-sign recognition demonstrated adequate verbal teach-back from both patient and daughter. Medication-regimen complexity - specifically the held versus continued distinction and the parameter-gated restart concept - required two passes and remains an area where reinforcement during transition is planned. Oxygen self-management (portable equipment setup and carry) likewise rated partial; this will be re-addressed with Occupational Therapy once the portable concentrator and M6 cylinders are delivered to the bedside by Prairie Home Medical Equipment. Daughter Tanielle Lydell engaged actively and will reinforce content at home within her work-schedule availability.</w:t>
      </w:r>
    </w:p>
    <w:p>
      <w:pPr>
        <w:spacing w:after="200" w:before="0"/>
      </w:pPr>
      <w:r>
        <w:rPr>
          <w:rFonts w:ascii="Courier New" w:hAnsi="Courier New"/>
          <w:sz w:val="20"/>
        </w:rPr>
        <w:t>Plan: continue daily reinforcement by the bedside RN and the heart-failure educator; re-teach medication-hold list and oxygen handling prior to any transition; coordinate with case management and OT.</w:t>
      </w:r>
    </w:p>
    <w:p>
      <w:pPr>
        <w:spacing w:after="0" w:before="0"/>
      </w:pPr>
      <w:r>
        <w:rPr>
          <w:rFonts w:ascii="Courier New" w:hAnsi="Courier New"/>
          <w:sz w:val="20"/>
        </w:rPr>
        <w:t>Electronically signed by: Rosamel Yenko, RN, BSN, Heart-Failure Educator</w:t>
      </w:r>
    </w:p>
    <w:p>
      <w:pPr>
        <w:spacing w:after="0" w:before="0"/>
      </w:pPr>
      <w:r>
        <w:rPr>
          <w:rFonts w:ascii="Courier New" w:hAnsi="Courier New"/>
          <w:sz w:val="20"/>
        </w:rPr>
        <w:t>Date: 06/19/2025 17:15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