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ourier New" w:hAnsi="Courier New" w:cs="Courier New" w:eastAsia="Courier New"/>
          <w:b/>
          <w:color w:val="000000"/>
          <w:sz w:val="24"/>
        </w:rPr>
        <w:t>CLINICAL PHARMACY NOTE - ANTICOAGULATION RENAL-DOSE REVIEW</w:t>
      </w:r>
    </w:p>
    <w:p>
      <w:pPr>
        <w:spacing w:after="80" w:before="0"/>
      </w:pPr>
      <w:r>
        <w:rPr>
          <w:rFonts w:ascii="Courier New" w:hAnsi="Courier New" w:cs="Courier New" w:eastAsia="Courier New"/>
          <w:b w:val="0"/>
          <w:color w:val="000000"/>
          <w:sz w:val="20"/>
        </w:rPr>
        <w:t>Sanctum Regional Medical Center | Pharmacy | 06/15/2025  10:22</w:t>
      </w:r>
    </w:p>
    <w:p>
      <w:pPr>
        <w:spacing w:after="0" w:before="0"/>
      </w:pPr>
      <w:r>
        <w:rPr>
          <w:rFonts w:ascii="Courier New" w:hAnsi="Courier New" w:cs="Courier New" w:eastAsia="Courier New"/>
          <w:b w:val="0"/>
          <w:color w:val="000000"/>
          <w:sz w:val="20"/>
        </w:rPr>
        <w:t>Patient: Lydell, Marva    MRN: ML-7782304    DOB: 04/22/1953 (72 y)    Sex: F</w:t>
      </w:r>
    </w:p>
    <w:p>
      <w:pPr>
        <w:spacing w:after="0" w:before="0"/>
      </w:pPr>
      <w:r>
        <w:rPr>
          <w:rFonts w:ascii="Courier New" w:hAnsi="Courier New" w:cs="Courier New" w:eastAsia="Courier New"/>
          <w:b w:val="0"/>
          <w:color w:val="000000"/>
          <w:sz w:val="20"/>
        </w:rPr>
        <w:t>Encounter CSN: ENC-20250613-7782304    Unit / Room: 4 West Med-Surg / 4W-218</w:t>
      </w:r>
    </w:p>
    <w:p>
      <w:pPr>
        <w:spacing w:after="0" w:before="0"/>
      </w:pPr>
      <w:r>
        <w:rPr>
          <w:rFonts w:ascii="Courier New" w:hAnsi="Courier New" w:cs="Courier New" w:eastAsia="Courier New"/>
          <w:b w:val="0"/>
          <w:color w:val="000000"/>
          <w:sz w:val="20"/>
        </w:rPr>
        <w:t>Allergies: Lisinopril / ACE inhibitor class - angioedema (severe)</w:t>
      </w:r>
    </w:p>
    <w:p>
      <w:pPr>
        <w:spacing w:after="0" w:before="0"/>
      </w:pPr>
      <w:r>
        <w:rPr>
          <w:rFonts w:ascii="Courier New" w:hAnsi="Courier New" w:cs="Courier New" w:eastAsia="Courier New"/>
          <w:b w:val="0"/>
          <w:color w:val="000000"/>
          <w:sz w:val="20"/>
        </w:rPr>
        <w:t>Pharmacist: Priya Anand, PharmD - IL-PHARM-39204</w:t>
      </w:r>
    </w:p>
    <w:p>
      <w:pPr>
        <w:spacing w:after="0" w:before="0"/>
      </w:pPr>
      <w:r>
        <w:rPr>
          <w:rFonts w:ascii="Courier New" w:hAnsi="Courier New" w:cs="Courier New" w:eastAsia="Courier New"/>
          <w:b w:val="0"/>
          <w:color w:val="000000"/>
          <w:sz w:val="20"/>
        </w:rPr>
        <w:t>Attending of record: Marcus Thorne, MD (NPI 1750284619)</w:t>
      </w:r>
    </w:p>
    <w:p>
      <w:pPr>
        <w:spacing w:after="0" w:before="0"/>
      </w:pPr>
      <w:r>
        <w:rPr>
          <w:rFonts w:ascii="Courier New" w:hAnsi="Courier New" w:cs="Courier New" w:eastAsia="Courier New"/>
          <w:b w:val="0"/>
          <w:color w:val="000000"/>
          <w:sz w:val="20"/>
        </w:rPr>
      </w:r>
    </w:p>
    <w:p>
      <w:pPr>
        <w:spacing w:after="0" w:before="0"/>
      </w:pPr>
      <w:r>
        <w:rPr>
          <w:rFonts w:ascii="Courier New" w:hAnsi="Courier New" w:cs="Courier New" w:eastAsia="Courier New"/>
          <w:b w:val="0"/>
          <w:color w:val="000000"/>
          <w:sz w:val="20"/>
        </w:rPr>
        <w:t>------------------------------------------------------------------------------</w:t>
      </w:r>
    </w:p>
    <w:p>
      <w:pPr>
        <w:spacing w:after="0" w:before="0"/>
      </w:pPr>
      <w:r>
        <w:rPr>
          <w:rFonts w:ascii="Courier New" w:hAnsi="Courier New" w:cs="Courier New" w:eastAsia="Courier New"/>
          <w:b w:val="0"/>
          <w:color w:val="000000"/>
          <w:sz w:val="20"/>
        </w:rPr>
      </w:r>
    </w:p>
    <w:p>
      <w:pPr>
        <w:spacing w:after="40" w:before="0"/>
      </w:pPr>
      <w:r>
        <w:rPr>
          <w:rFonts w:ascii="Courier New" w:hAnsi="Courier New" w:cs="Courier New" w:eastAsia="Courier New"/>
          <w:b/>
          <w:color w:val="000000"/>
          <w:sz w:val="24"/>
        </w:rPr>
        <w:t>REASON FOR REVIEW</w:t>
      </w:r>
    </w:p>
    <w:p>
      <w:pPr>
        <w:spacing w:after="0" w:before="0"/>
      </w:pPr>
      <w:r>
        <w:rPr>
          <w:rFonts w:ascii="Courier New" w:hAnsi="Courier New" w:cs="Courier New" w:eastAsia="Courier New"/>
          <w:b w:val="0"/>
          <w:color w:val="000000"/>
          <w:sz w:val="20"/>
        </w:rPr>
        <w:t>Inpatient renal-dose review and antithrombotic duplication check for apixaban prescribed for atrial fibrillation stroke prophylaxis in the setting of acute kidney injury on CKD stage 3b-4. Requested as part of the admission day-3 clinical pharmacy workflow consistent with the admission plan from Dr. Thorne (06/13/2025).</w:t>
      </w:r>
    </w:p>
    <w:p>
      <w:pPr>
        <w:spacing w:after="0" w:before="0"/>
      </w:pPr>
      <w:r>
        <w:rPr>
          <w:rFonts w:ascii="Courier New" w:hAnsi="Courier New" w:cs="Courier New" w:eastAsia="Courier New"/>
          <w:b w:val="0"/>
          <w:color w:val="000000"/>
          <w:sz w:val="20"/>
        </w:rPr>
      </w:r>
    </w:p>
    <w:p>
      <w:pPr>
        <w:spacing w:after="40" w:before="0"/>
      </w:pPr>
      <w:r>
        <w:rPr>
          <w:rFonts w:ascii="Courier New" w:hAnsi="Courier New" w:cs="Courier New" w:eastAsia="Courier New"/>
          <w:b/>
          <w:color w:val="000000"/>
          <w:sz w:val="24"/>
        </w:rPr>
        <w:t>CURRENT THERAPY</w:t>
      </w:r>
    </w:p>
    <w:p>
      <w:pPr>
        <w:spacing w:after="0" w:before="0"/>
      </w:pPr>
      <w:r>
        <w:rPr>
          <w:rFonts w:ascii="Courier New" w:hAnsi="Courier New" w:cs="Courier New" w:eastAsia="Courier New"/>
          <w:b w:val="0"/>
          <w:color w:val="000000"/>
          <w:sz w:val="20"/>
        </w:rPr>
        <w:t xml:space="preserve">- </w:t>
      </w:r>
      <w:r>
        <w:rPr>
          <w:rFonts w:ascii="Courier New" w:hAnsi="Courier New" w:cs="Courier New" w:eastAsia="Courier New"/>
          <w:b w:val="0"/>
          <w:color w:val="000000"/>
          <w:sz w:val="20"/>
        </w:rPr>
        <w:t>Apixaban 5 mg PO BID</w:t>
      </w:r>
      <w:r>
        <w:rPr>
          <w:rFonts w:ascii="Courier New" w:hAnsi="Courier New" w:cs="Courier New" w:eastAsia="Courier New"/>
          <w:b w:val="0"/>
          <w:color w:val="000000"/>
          <w:sz w:val="20"/>
        </w:rPr>
        <w:t xml:space="preserve"> - atrial fibrillation, rate-controlled; continued from home regimen on admission per signed orders.</w:t>
      </w:r>
    </w:p>
    <w:p>
      <w:pPr>
        <w:spacing w:after="0" w:before="0"/>
      </w:pPr>
      <w:r>
        <w:rPr>
          <w:rFonts w:ascii="Courier New" w:hAnsi="Courier New" w:cs="Courier New" w:eastAsia="Courier New"/>
          <w:b w:val="0"/>
          <w:color w:val="000000"/>
          <w:sz w:val="20"/>
        </w:rPr>
        <w:t xml:space="preserve">- </w:t>
      </w:r>
      <w:r>
        <w:rPr>
          <w:rFonts w:ascii="Courier New" w:hAnsi="Courier New" w:cs="Courier New" w:eastAsia="Courier New"/>
          <w:b w:val="0"/>
          <w:color w:val="000000"/>
          <w:sz w:val="20"/>
        </w:rPr>
        <w:t>Aspirin 81 mg PO daily</w:t>
      </w:r>
      <w:r>
        <w:rPr>
          <w:rFonts w:ascii="Courier New" w:hAnsi="Courier New" w:cs="Courier New" w:eastAsia="Courier New"/>
          <w:b w:val="0"/>
          <w:color w:val="000000"/>
          <w:sz w:val="20"/>
        </w:rPr>
        <w:t xml:space="preserve"> - coronary artery disease secondary prevention; continued as the only documented co-antiplatelet alongside the anticoagulant.</w:t>
      </w:r>
    </w:p>
    <w:p>
      <w:pPr>
        <w:spacing w:after="0" w:before="0"/>
      </w:pPr>
      <w:r>
        <w:rPr>
          <w:rFonts w:ascii="Courier New" w:hAnsi="Courier New" w:cs="Courier New" w:eastAsia="Courier New"/>
          <w:b w:val="0"/>
          <w:color w:val="000000"/>
          <w:sz w:val="20"/>
        </w:rPr>
      </w:r>
    </w:p>
    <w:p>
      <w:pPr>
        <w:spacing w:after="40" w:before="0"/>
      </w:pPr>
      <w:r>
        <w:rPr>
          <w:rFonts w:ascii="Courier New" w:hAnsi="Courier New" w:cs="Courier New" w:eastAsia="Courier New"/>
          <w:b/>
          <w:color w:val="000000"/>
          <w:sz w:val="24"/>
        </w:rPr>
        <w:t>CLINICAL DATA</w:t>
      </w:r>
    </w:p>
    <w:p>
      <w:pPr>
        <w:spacing w:after="0" w:before="0"/>
        <w:ind w:left="0"/>
      </w:pPr>
      <w:r>
        <w:rPr>
          <w:rFonts w:ascii="Courier New" w:hAnsi="Courier New" w:cs="Courier New" w:eastAsia="Courier New"/>
          <w:b w:val="0"/>
          <w:color w:val="000000"/>
          <w:sz w:val="20"/>
        </w:rPr>
        <w:t xml:space="preserve">- </w:t>
      </w:r>
      <w:r>
        <w:rPr>
          <w:rFonts w:ascii="Courier New" w:hAnsi="Courier New" w:cs="Courier New" w:eastAsia="Courier New"/>
          <w:b w:val="0"/>
          <w:color w:val="000000"/>
          <w:sz w:val="20"/>
        </w:rPr>
        <w:t>Age: 72 years (DOB 04/22/1953).</w:t>
      </w:r>
    </w:p>
    <w:p>
      <w:pPr>
        <w:spacing w:after="0" w:before="0"/>
        <w:ind w:left="0"/>
      </w:pPr>
      <w:r>
        <w:rPr>
          <w:rFonts w:ascii="Courier New" w:hAnsi="Courier New" w:cs="Courier New" w:eastAsia="Courier New"/>
          <w:b w:val="0"/>
          <w:color w:val="000000"/>
          <w:sz w:val="20"/>
        </w:rPr>
        <w:t xml:space="preserve">- </w:t>
      </w:r>
      <w:r>
        <w:rPr>
          <w:rFonts w:ascii="Courier New" w:hAnsi="Courier New" w:cs="Courier New" w:eastAsia="Courier New"/>
          <w:b w:val="0"/>
          <w:color w:val="000000"/>
          <w:sz w:val="20"/>
        </w:rPr>
        <w:t>Weight (today, 06/15/2025): 92.5 kg.</w:t>
      </w:r>
    </w:p>
    <w:p>
      <w:pPr>
        <w:spacing w:after="0" w:before="0"/>
        <w:ind w:left="0"/>
      </w:pPr>
      <w:r>
        <w:rPr>
          <w:rFonts w:ascii="Courier New" w:hAnsi="Courier New" w:cs="Courier New" w:eastAsia="Courier New"/>
          <w:b w:val="0"/>
          <w:color w:val="000000"/>
          <w:sz w:val="20"/>
        </w:rPr>
        <w:t xml:space="preserve">- </w:t>
      </w:r>
      <w:r>
        <w:rPr>
          <w:rFonts w:ascii="Courier New" w:hAnsi="Courier New" w:cs="Courier New" w:eastAsia="Courier New"/>
          <w:b w:val="0"/>
          <w:color w:val="000000"/>
          <w:sz w:val="20"/>
        </w:rPr>
        <w:t>Serum creatinine trend: baseline 1.7 mg/dL (outpatient 05/30/2025) to 2.6 mg/dL on admission (06/13/2025) to 2.3 mg/dL today, improving with diuresis.</w:t>
      </w:r>
    </w:p>
    <w:p>
      <w:pPr>
        <w:spacing w:after="0" w:before="0"/>
        <w:ind w:left="0"/>
      </w:pPr>
      <w:r>
        <w:rPr>
          <w:rFonts w:ascii="Courier New" w:hAnsi="Courier New" w:cs="Courier New" w:eastAsia="Courier New"/>
          <w:b w:val="0"/>
          <w:color w:val="000000"/>
          <w:sz w:val="20"/>
        </w:rPr>
        <w:t xml:space="preserve">- </w:t>
      </w:r>
      <w:r>
        <w:rPr>
          <w:rFonts w:ascii="Courier New" w:hAnsi="Courier New" w:cs="Courier New" w:eastAsia="Courier New"/>
          <w:b w:val="0"/>
          <w:color w:val="000000"/>
          <w:sz w:val="20"/>
        </w:rPr>
        <w:t>Indication: non-valvular atrial fibrillation; nephrology (Dr. Lund) co-managing cardiorenal AKI with parameter-gated restart guidance on the held RAAS/MRA/SGLT2/metformin agents.</w:t>
      </w:r>
    </w:p>
    <w:p>
      <w:pPr>
        <w:spacing w:after="0" w:before="0"/>
      </w:pPr>
      <w:r>
        <w:rPr>
          <w:rFonts w:ascii="Courier New" w:hAnsi="Courier New" w:cs="Courier New" w:eastAsia="Courier New"/>
          <w:b w:val="0"/>
          <w:color w:val="000000"/>
          <w:sz w:val="20"/>
        </w:rPr>
      </w:r>
    </w:p>
    <w:p>
      <w:pPr>
        <w:spacing w:after="40" w:before="0"/>
      </w:pPr>
      <w:r>
        <w:rPr>
          <w:rFonts w:ascii="Courier New" w:hAnsi="Courier New" w:cs="Courier New" w:eastAsia="Courier New"/>
          <w:b w:val="0"/>
          <w:color w:val="000000"/>
          <w:sz w:val="24"/>
        </w:rPr>
        <w:t>ASSESSMENT - RENAL-DOSE CRITERIA (APIXABAN, NON-VALVULAR AFib)</w:t>
      </w:r>
    </w:p>
    <w:p>
      <w:pPr>
        <w:spacing w:after="0" w:before="0"/>
      </w:pPr>
      <w:r>
        <w:rPr>
          <w:rFonts w:ascii="Courier New" w:hAnsi="Courier New" w:cs="Courier New" w:eastAsia="Courier New"/>
          <w:b w:val="0"/>
          <w:color w:val="000000"/>
          <w:sz w:val="20"/>
        </w:rPr>
        <w:t>Manufacturer renal dose-reduction criteria for apixaban in non-valvular atrial fibrillation require at least two of the following three: age &gt;= 80 years, body weight &lt;= 60 kg, or serum creatinine &gt;= 1.5 mg/dL. Applied to this patient on the active labs:</w:t>
      </w:r>
    </w:p>
    <w:p>
      <w:pPr>
        <w:spacing w:after="0" w:before="0"/>
      </w:pPr>
      <w:r>
        <w:rPr>
          <w:rFonts w:ascii="Courier New" w:hAnsi="Courier New" w:cs="Courier New" w:eastAsia="Courier New"/>
          <w:b w:val="0"/>
          <w:color w:val="000000"/>
          <w:sz w:val="20"/>
        </w:rPr>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016"/>
          </w:tcPr>
          <w:p>
            <w:pPr>
              <w:spacing w:after="0" w:before="0"/>
            </w:pPr>
            <w:r/>
            <w:r>
              <w:rPr>
                <w:rFonts w:ascii="Courier New" w:hAnsi="Courier New" w:cs="Courier New" w:eastAsia="Courier New"/>
                <w:b w:val="0"/>
                <w:color w:val="000000"/>
                <w:sz w:val="20"/>
              </w:rPr>
              <w:t>Criterion</w:t>
            </w:r>
          </w:p>
        </w:tc>
        <w:tc>
          <w:tcPr>
            <w:tcW w:type="dxa" w:w="2016"/>
          </w:tcPr>
          <w:p>
            <w:pPr>
              <w:spacing w:after="0" w:before="0"/>
            </w:pPr>
            <w:r/>
            <w:r>
              <w:rPr>
                <w:rFonts w:ascii="Courier New" w:hAnsi="Courier New" w:cs="Courier New" w:eastAsia="Courier New"/>
                <w:b w:val="0"/>
                <w:color w:val="000000"/>
                <w:sz w:val="20"/>
              </w:rPr>
              <w:t>Threshold</w:t>
            </w:r>
          </w:p>
        </w:tc>
        <w:tc>
          <w:tcPr>
            <w:tcW w:type="dxa" w:w="3456"/>
          </w:tcPr>
          <w:p>
            <w:pPr>
              <w:spacing w:after="0" w:before="0"/>
            </w:pPr>
            <w:r/>
            <w:r>
              <w:rPr>
                <w:rFonts w:ascii="Courier New" w:hAnsi="Courier New" w:cs="Courier New" w:eastAsia="Courier New"/>
                <w:b w:val="0"/>
                <w:color w:val="000000"/>
                <w:sz w:val="20"/>
              </w:rPr>
              <w:t>Patient value</w:t>
            </w:r>
          </w:p>
        </w:tc>
        <w:tc>
          <w:tcPr>
            <w:tcW w:type="dxa" w:w="1728"/>
          </w:tcPr>
          <w:p>
            <w:pPr>
              <w:spacing w:after="0" w:before="0"/>
            </w:pPr>
            <w:r/>
            <w:r>
              <w:rPr>
                <w:rFonts w:ascii="Courier New" w:hAnsi="Courier New" w:cs="Courier New" w:eastAsia="Courier New"/>
                <w:b w:val="0"/>
                <w:color w:val="000000"/>
                <w:sz w:val="20"/>
              </w:rPr>
              <w:t>Met?</w:t>
            </w:r>
          </w:p>
        </w:tc>
      </w:tr>
      <w:tr>
        <w:tc>
          <w:tcPr>
            <w:tcW w:type="dxa" w:w="2016"/>
          </w:tcPr>
          <w:p>
            <w:pPr>
              <w:spacing w:after="0" w:before="0"/>
            </w:pPr>
            <w:r/>
            <w:r>
              <w:rPr>
                <w:rFonts w:ascii="Courier New" w:hAnsi="Courier New" w:cs="Courier New" w:eastAsia="Courier New"/>
                <w:b w:val="0"/>
                <w:color w:val="000000"/>
                <w:sz w:val="20"/>
              </w:rPr>
              <w:t>Age</w:t>
            </w:r>
          </w:p>
        </w:tc>
        <w:tc>
          <w:tcPr>
            <w:tcW w:type="dxa" w:w="2016"/>
          </w:tcPr>
          <w:p>
            <w:pPr>
              <w:spacing w:after="0" w:before="0"/>
            </w:pPr>
            <w:r/>
            <w:r>
              <w:rPr>
                <w:rFonts w:ascii="Courier New" w:hAnsi="Courier New" w:cs="Courier New" w:eastAsia="Courier New"/>
                <w:b w:val="0"/>
                <w:color w:val="000000"/>
                <w:sz w:val="20"/>
              </w:rPr>
              <w:t>&gt;= 80 years</w:t>
            </w:r>
          </w:p>
        </w:tc>
        <w:tc>
          <w:tcPr>
            <w:tcW w:type="dxa" w:w="3456"/>
          </w:tcPr>
          <w:p>
            <w:pPr>
              <w:spacing w:after="0" w:before="0"/>
            </w:pPr>
            <w:r/>
            <w:r>
              <w:rPr>
                <w:rFonts w:ascii="Courier New" w:hAnsi="Courier New" w:cs="Courier New" w:eastAsia="Courier New"/>
                <w:b w:val="0"/>
                <w:color w:val="000000"/>
                <w:sz w:val="20"/>
              </w:rPr>
              <w:t>72 years</w:t>
            </w:r>
          </w:p>
        </w:tc>
        <w:tc>
          <w:tcPr>
            <w:tcW w:type="dxa" w:w="1728"/>
          </w:tcPr>
          <w:p>
            <w:pPr>
              <w:spacing w:after="0" w:before="0"/>
            </w:pPr>
            <w:r/>
            <w:r>
              <w:rPr>
                <w:rFonts w:ascii="Courier New" w:hAnsi="Courier New" w:cs="Courier New" w:eastAsia="Courier New"/>
                <w:b w:val="0"/>
                <w:color w:val="000000"/>
                <w:sz w:val="20"/>
              </w:rPr>
              <w:t>No</w:t>
            </w:r>
          </w:p>
        </w:tc>
      </w:tr>
      <w:tr>
        <w:tc>
          <w:tcPr>
            <w:tcW w:type="dxa" w:w="2016"/>
          </w:tcPr>
          <w:p>
            <w:pPr>
              <w:spacing w:after="0" w:before="0"/>
            </w:pPr>
            <w:r/>
            <w:r>
              <w:rPr>
                <w:rFonts w:ascii="Courier New" w:hAnsi="Courier New" w:cs="Courier New" w:eastAsia="Courier New"/>
                <w:b w:val="0"/>
                <w:color w:val="000000"/>
                <w:sz w:val="20"/>
              </w:rPr>
              <w:t>Body weight</w:t>
            </w:r>
          </w:p>
        </w:tc>
        <w:tc>
          <w:tcPr>
            <w:tcW w:type="dxa" w:w="2016"/>
          </w:tcPr>
          <w:p>
            <w:pPr>
              <w:spacing w:after="0" w:before="0"/>
            </w:pPr>
            <w:r/>
            <w:r>
              <w:rPr>
                <w:rFonts w:ascii="Courier New" w:hAnsi="Courier New" w:cs="Courier New" w:eastAsia="Courier New"/>
                <w:b w:val="0"/>
                <w:color w:val="000000"/>
                <w:sz w:val="20"/>
              </w:rPr>
              <w:t>&lt;= 60 kg</w:t>
            </w:r>
          </w:p>
        </w:tc>
        <w:tc>
          <w:tcPr>
            <w:tcW w:type="dxa" w:w="3456"/>
          </w:tcPr>
          <w:p>
            <w:pPr>
              <w:spacing w:after="0" w:before="0"/>
            </w:pPr>
            <w:r/>
            <w:r>
              <w:rPr>
                <w:rFonts w:ascii="Courier New" w:hAnsi="Courier New" w:cs="Courier New" w:eastAsia="Courier New"/>
                <w:b w:val="0"/>
                <w:color w:val="000000"/>
                <w:sz w:val="20"/>
              </w:rPr>
              <w:t>92.5 kg</w:t>
            </w:r>
          </w:p>
        </w:tc>
        <w:tc>
          <w:tcPr>
            <w:tcW w:type="dxa" w:w="1728"/>
          </w:tcPr>
          <w:p>
            <w:pPr>
              <w:spacing w:after="0" w:before="0"/>
            </w:pPr>
            <w:r/>
            <w:r>
              <w:rPr>
                <w:rFonts w:ascii="Courier New" w:hAnsi="Courier New" w:cs="Courier New" w:eastAsia="Courier New"/>
                <w:b w:val="0"/>
                <w:color w:val="000000"/>
                <w:sz w:val="20"/>
              </w:rPr>
              <w:t>No</w:t>
            </w:r>
          </w:p>
        </w:tc>
      </w:tr>
      <w:tr>
        <w:tc>
          <w:tcPr>
            <w:tcW w:type="dxa" w:w="2016"/>
          </w:tcPr>
          <w:p>
            <w:pPr>
              <w:spacing w:after="0" w:before="0"/>
            </w:pPr>
            <w:r/>
            <w:r>
              <w:rPr>
                <w:rFonts w:ascii="Courier New" w:hAnsi="Courier New" w:cs="Courier New" w:eastAsia="Courier New"/>
                <w:b w:val="0"/>
                <w:color w:val="000000"/>
                <w:sz w:val="20"/>
              </w:rPr>
              <w:t>Serum creatinine</w:t>
            </w:r>
          </w:p>
        </w:tc>
        <w:tc>
          <w:tcPr>
            <w:tcW w:type="dxa" w:w="2016"/>
          </w:tcPr>
          <w:p>
            <w:pPr>
              <w:spacing w:after="0" w:before="0"/>
            </w:pPr>
            <w:r/>
            <w:r>
              <w:rPr>
                <w:rFonts w:ascii="Courier New" w:hAnsi="Courier New" w:cs="Courier New" w:eastAsia="Courier New"/>
                <w:b w:val="0"/>
                <w:color w:val="000000"/>
                <w:sz w:val="20"/>
              </w:rPr>
              <w:t>&gt;= 1.5 mg/dL</w:t>
            </w:r>
          </w:p>
        </w:tc>
        <w:tc>
          <w:tcPr>
            <w:tcW w:type="dxa" w:w="3456"/>
          </w:tcPr>
          <w:p>
            <w:pPr>
              <w:spacing w:after="0" w:before="0"/>
            </w:pPr>
            <w:r/>
            <w:r>
              <w:rPr>
                <w:rFonts w:ascii="Courier New" w:hAnsi="Courier New" w:cs="Courier New" w:eastAsia="Courier New"/>
                <w:b w:val="0"/>
                <w:color w:val="000000"/>
                <w:sz w:val="20"/>
              </w:rPr>
              <w:t>2.3 mg/dL (transient, improving toward 1.7 mg/dL baseline)</w:t>
            </w:r>
          </w:p>
        </w:tc>
        <w:tc>
          <w:tcPr>
            <w:tcW w:type="dxa" w:w="1728"/>
          </w:tcPr>
          <w:p>
            <w:pPr>
              <w:spacing w:after="0" w:before="0"/>
            </w:pPr>
            <w:r/>
            <w:r>
              <w:rPr>
                <w:rFonts w:ascii="Courier New" w:hAnsi="Courier New" w:cs="Courier New" w:eastAsia="Courier New"/>
                <w:b w:val="0"/>
                <w:color w:val="000000"/>
                <w:sz w:val="20"/>
              </w:rPr>
              <w:t>Yes</w:t>
            </w:r>
          </w:p>
        </w:tc>
      </w:tr>
    </w:tbl>
    <w:p>
      <w:pPr>
        <w:spacing w:after="0" w:before="0"/>
      </w:pPr>
      <w:r>
        <w:rPr>
          <w:rFonts w:ascii="Courier New" w:hAnsi="Courier New" w:cs="Courier New" w:eastAsia="Courier New"/>
          <w:b w:val="0"/>
          <w:color w:val="000000"/>
          <w:sz w:val="20"/>
        </w:rPr>
      </w:r>
    </w:p>
    <w:p>
      <w:pPr>
        <w:spacing w:after="0" w:before="0"/>
      </w:pPr>
      <w:r>
        <w:rPr>
          <w:rFonts w:ascii="Courier New" w:hAnsi="Courier New" w:cs="Courier New" w:eastAsia="Courier New"/>
          <w:b w:val="0"/>
          <w:color w:val="000000"/>
          <w:sz w:val="20"/>
        </w:rPr>
        <w:t>The patient meets one of three criteria. Two criteria are required for the 2.5 mg BID renal-reduced dose; the 5 mg BID dose remains the indicated dose at the current renal function. The creatinine criterion is met transiently in the setting of cardiorenal AKI and is expected to retreat toward baseline 1.7 mg/dL with continued diuresis.</w:t>
      </w:r>
    </w:p>
    <w:p>
      <w:pPr>
        <w:spacing w:after="0" w:before="0"/>
      </w:pPr>
      <w:r>
        <w:rPr>
          <w:rFonts w:ascii="Courier New" w:hAnsi="Courier New" w:cs="Courier New" w:eastAsia="Courier New"/>
          <w:b w:val="0"/>
          <w:color w:val="000000"/>
          <w:sz w:val="20"/>
        </w:rPr>
      </w:r>
    </w:p>
    <w:p>
      <w:pPr>
        <w:spacing w:after="40" w:before="0"/>
      </w:pPr>
      <w:r>
        <w:rPr>
          <w:rFonts w:ascii="Courier New" w:hAnsi="Courier New" w:cs="Courier New" w:eastAsia="Courier New"/>
          <w:b/>
          <w:color w:val="000000"/>
          <w:sz w:val="24"/>
        </w:rPr>
        <w:t>DUPLICATION / INTERACTION CHECK</w:t>
      </w:r>
    </w:p>
    <w:p>
      <w:pPr>
        <w:spacing w:after="0" w:before="0"/>
      </w:pPr>
      <w:r>
        <w:rPr>
          <w:rFonts w:ascii="Courier New" w:hAnsi="Courier New" w:cs="Courier New" w:eastAsia="Courier New"/>
          <w:b w:val="0"/>
          <w:color w:val="000000"/>
          <w:sz w:val="20"/>
        </w:rPr>
        <w:t>Active MAR reconciled against the admission medication list and the outside pharmacy list. Apixaban is the single antithrombotic agent on the active anticoagulation profile; no concurrent oral or parenteral anticoagulant is ordered, infusing, or held in reserve on this encounter. NO DUPLICATE anticoagulant is present. Aspirin 81 mg daily is the only co-antiplatelet, indicated for CAD secondary prevention and not therapeutic anticoagulation. No clinically significant CYP3A4/P-gp interaction agents on the active profile.</w:t>
      </w:r>
    </w:p>
    <w:p>
      <w:pPr>
        <w:spacing w:after="0" w:before="0"/>
      </w:pPr>
      <w:r>
        <w:rPr>
          <w:rFonts w:ascii="Courier New" w:hAnsi="Courier New" w:cs="Courier New" w:eastAsia="Courier New"/>
          <w:b w:val="0"/>
          <w:color w:val="000000"/>
          <w:sz w:val="20"/>
        </w:rPr>
      </w:r>
    </w:p>
    <w:p>
      <w:pPr>
        <w:spacing w:after="40" w:before="0"/>
      </w:pPr>
      <w:r>
        <w:rPr>
          <w:rFonts w:ascii="Courier New" w:hAnsi="Courier New" w:cs="Courier New" w:eastAsia="Courier New"/>
          <w:b/>
          <w:color w:val="000000"/>
          <w:sz w:val="24"/>
        </w:rPr>
        <w:t>RECOMMENDATION</w:t>
      </w:r>
    </w:p>
    <w:p>
      <w:pPr>
        <w:spacing w:after="0" w:before="0"/>
      </w:pPr>
      <w:r>
        <w:rPr>
          <w:rFonts w:ascii="Courier New" w:hAnsi="Courier New" w:cs="Courier New" w:eastAsia="Courier New"/>
          <w:b w:val="0"/>
          <w:color w:val="000000"/>
          <w:sz w:val="20"/>
        </w:rPr>
        <w:t xml:space="preserve">1. </w:t>
      </w:r>
      <w:r>
        <w:rPr>
          <w:rFonts w:ascii="Courier New" w:hAnsi="Courier New" w:cs="Courier New" w:eastAsia="Courier New"/>
          <w:b w:val="0"/>
          <w:color w:val="000000"/>
          <w:sz w:val="20"/>
        </w:rPr>
        <w:t>Continue apixaban 5 mg PO BID</w:t>
      </w:r>
      <w:r>
        <w:rPr>
          <w:rFonts w:ascii="Courier New" w:hAnsi="Courier New" w:cs="Courier New" w:eastAsia="Courier New"/>
          <w:b w:val="0"/>
          <w:color w:val="000000"/>
          <w:sz w:val="20"/>
        </w:rPr>
        <w:t xml:space="preserve"> at the current renal function; the renal-reduced 2.5 mg BID dose is not indicated.</w:t>
      </w:r>
    </w:p>
    <w:p>
      <w:pPr>
        <w:spacing w:after="0" w:before="0"/>
      </w:pPr>
      <w:r>
        <w:rPr>
          <w:rFonts w:ascii="Courier New" w:hAnsi="Courier New" w:cs="Courier New" w:eastAsia="Courier New"/>
          <w:b w:val="0"/>
          <w:color w:val="000000"/>
          <w:sz w:val="20"/>
        </w:rPr>
        <w:t xml:space="preserve">2. </w:t>
      </w:r>
      <w:r>
        <w:rPr>
          <w:rFonts w:ascii="Courier New" w:hAnsi="Courier New" w:cs="Courier New" w:eastAsia="Courier New"/>
          <w:b w:val="0"/>
          <w:color w:val="000000"/>
          <w:sz w:val="20"/>
        </w:rPr>
        <w:t>Recheck renal-dose criteria</w:t>
      </w:r>
      <w:r>
        <w:rPr>
          <w:rFonts w:ascii="Courier New" w:hAnsi="Courier New" w:cs="Courier New" w:eastAsia="Courier New"/>
          <w:b w:val="0"/>
          <w:color w:val="000000"/>
          <w:sz w:val="20"/>
        </w:rPr>
        <w:t xml:space="preserve"> against subsequent chemistries; if creatinine continues to retreat with diuresis, the single-criterion picture will resolve; if renal function deteriorates further, reassess against the two-of-three rule.</w:t>
      </w:r>
    </w:p>
    <w:p>
      <w:pPr>
        <w:spacing w:after="0" w:before="0"/>
      </w:pPr>
      <w:r>
        <w:rPr>
          <w:rFonts w:ascii="Courier New" w:hAnsi="Courier New" w:cs="Courier New" w:eastAsia="Courier New"/>
          <w:b w:val="0"/>
          <w:color w:val="000000"/>
          <w:sz w:val="20"/>
        </w:rPr>
        <w:t xml:space="preserve">3. </w:t>
      </w:r>
      <w:r>
        <w:rPr>
          <w:rFonts w:ascii="Courier New" w:hAnsi="Courier New" w:cs="Courier New" w:eastAsia="Courier New"/>
          <w:b w:val="0"/>
          <w:color w:val="000000"/>
          <w:sz w:val="20"/>
        </w:rPr>
        <w:t>Maintain single-agent anticoagulation;</w:t>
      </w:r>
      <w:r>
        <w:rPr>
          <w:rFonts w:ascii="Courier New" w:hAnsi="Courier New" w:cs="Courier New" w:eastAsia="Courier New"/>
          <w:b w:val="0"/>
          <w:color w:val="000000"/>
          <w:sz w:val="20"/>
        </w:rPr>
        <w:t xml:space="preserve"> do not introduce a second anticoagulant on this encounter.</w:t>
      </w:r>
    </w:p>
    <w:p>
      <w:pPr>
        <w:spacing w:after="0" w:before="0"/>
      </w:pPr>
      <w:r>
        <w:rPr>
          <w:rFonts w:ascii="Courier New" w:hAnsi="Courier New" w:cs="Courier New" w:eastAsia="Courier New"/>
          <w:b w:val="0"/>
          <w:color w:val="000000"/>
          <w:sz w:val="20"/>
        </w:rPr>
        <w:t xml:space="preserve">4. </w:t>
      </w:r>
      <w:r>
        <w:rPr>
          <w:rFonts w:ascii="Courier New" w:hAnsi="Courier New" w:cs="Courier New" w:eastAsia="Courier New"/>
          <w:b w:val="0"/>
          <w:color w:val="000000"/>
          <w:sz w:val="20"/>
        </w:rPr>
        <w:t>Outpatient renal-dose recheck routed</w:t>
      </w:r>
      <w:r>
        <w:rPr>
          <w:rFonts w:ascii="Courier New" w:hAnsi="Courier New" w:cs="Courier New" w:eastAsia="Courier New"/>
          <w:b w:val="0"/>
          <w:color w:val="000000"/>
          <w:sz w:val="20"/>
        </w:rPr>
        <w:t xml:space="preserve"> to the discharging clinician and primary care for re-verification at the first post-discharge labs.</w:t>
      </w:r>
    </w:p>
    <w:p>
      <w:pPr>
        <w:spacing w:after="0" w:before="0"/>
      </w:pPr>
      <w:r>
        <w:rPr>
          <w:rFonts w:ascii="Courier New" w:hAnsi="Courier New" w:cs="Courier New" w:eastAsia="Courier New"/>
          <w:b w:val="0"/>
          <w:color w:val="000000"/>
          <w:sz w:val="20"/>
        </w:rPr>
      </w:r>
    </w:p>
    <w:p>
      <w:pPr>
        <w:spacing w:after="40" w:before="0"/>
      </w:pPr>
      <w:r>
        <w:rPr>
          <w:rFonts w:ascii="Courier New" w:hAnsi="Courier New" w:cs="Courier New" w:eastAsia="Courier New"/>
          <w:b/>
          <w:color w:val="000000"/>
          <w:sz w:val="24"/>
        </w:rPr>
        <w:t>MONITORING</w:t>
      </w:r>
    </w:p>
    <w:p>
      <w:pPr>
        <w:spacing w:after="0" w:before="0"/>
        <w:ind w:left="0"/>
      </w:pPr>
      <w:r>
        <w:rPr>
          <w:rFonts w:ascii="Courier New" w:hAnsi="Courier New" w:cs="Courier New" w:eastAsia="Courier New"/>
          <w:b w:val="0"/>
          <w:color w:val="000000"/>
          <w:sz w:val="20"/>
        </w:rPr>
        <w:t xml:space="preserve">- </w:t>
      </w:r>
      <w:r>
        <w:rPr>
          <w:rFonts w:ascii="Courier New" w:hAnsi="Courier New" w:cs="Courier New" w:eastAsia="Courier New"/>
          <w:b w:val="0"/>
          <w:color w:val="000000"/>
          <w:sz w:val="20"/>
        </w:rPr>
        <w:t>Daily basic metabolic panel while inpatient; reassess apixaban renal-dose criteria on each new creatinine.</w:t>
      </w:r>
    </w:p>
    <w:p>
      <w:pPr>
        <w:spacing w:after="0" w:before="0"/>
        <w:ind w:left="0"/>
      </w:pPr>
      <w:r>
        <w:rPr>
          <w:rFonts w:ascii="Courier New" w:hAnsi="Courier New" w:cs="Courier New" w:eastAsia="Courier New"/>
          <w:b w:val="0"/>
          <w:color w:val="000000"/>
          <w:sz w:val="20"/>
        </w:rPr>
        <w:t xml:space="preserve">- </w:t>
      </w:r>
      <w:r>
        <w:rPr>
          <w:rFonts w:ascii="Courier New" w:hAnsi="Courier New" w:cs="Courier New" w:eastAsia="Courier New"/>
          <w:b w:val="0"/>
          <w:color w:val="000000"/>
          <w:sz w:val="20"/>
        </w:rPr>
        <w:t>Bleeding precautions; monitor hemoglobin trend against baseline anemia of CKD (~10.0 g/dL).</w:t>
      </w:r>
    </w:p>
    <w:p>
      <w:pPr>
        <w:spacing w:after="0" w:before="0"/>
        <w:ind w:left="0"/>
      </w:pPr>
      <w:r>
        <w:rPr>
          <w:rFonts w:ascii="Courier New" w:hAnsi="Courier New" w:cs="Courier New" w:eastAsia="Courier New"/>
          <w:b w:val="0"/>
          <w:color w:val="000000"/>
          <w:sz w:val="20"/>
        </w:rPr>
        <w:t xml:space="preserve">- </w:t>
      </w:r>
      <w:r>
        <w:rPr>
          <w:rFonts w:ascii="Courier New" w:hAnsi="Courier New" w:cs="Courier New" w:eastAsia="Courier New"/>
          <w:b w:val="0"/>
          <w:color w:val="000000"/>
          <w:sz w:val="20"/>
        </w:rPr>
        <w:t>Communicated verbally to Dr. Thorne (hospitalist attending) and documented in the chart; nephrology team (Dr. Lund) aware.</w:t>
      </w:r>
    </w:p>
    <w:p>
      <w:pPr>
        <w:spacing w:after="0" w:before="0"/>
      </w:pPr>
      <w:r>
        <w:rPr>
          <w:rFonts w:ascii="Courier New" w:hAnsi="Courier New" w:cs="Courier New" w:eastAsia="Courier New"/>
          <w:b w:val="0"/>
          <w:color w:val="000000"/>
          <w:sz w:val="20"/>
        </w:rPr>
      </w:r>
    </w:p>
    <w:p>
      <w:pPr>
        <w:spacing w:after="0" w:before="0"/>
      </w:pPr>
      <w:r>
        <w:rPr>
          <w:rFonts w:ascii="Courier New" w:hAnsi="Courier New" w:cs="Courier New" w:eastAsia="Courier New"/>
          <w:b w:val="0"/>
          <w:color w:val="000000"/>
          <w:sz w:val="20"/>
        </w:rPr>
        <w:t>------------------------------------------------------------------------------</w:t>
      </w:r>
    </w:p>
    <w:p>
      <w:pPr>
        <w:spacing w:after="0" w:before="0"/>
      </w:pPr>
      <w:r>
        <w:rPr>
          <w:rFonts w:ascii="Courier New" w:hAnsi="Courier New" w:cs="Courier New" w:eastAsia="Courier New"/>
          <w:b w:val="0"/>
          <w:color w:val="000000"/>
          <w:sz w:val="20"/>
        </w:rPr>
      </w:r>
    </w:p>
    <w:p>
      <w:pPr>
        <w:spacing w:after="0"/>
      </w:pPr>
      <w:r>
        <w:rPr>
          <w:rFonts w:ascii="Courier New" w:hAnsi="Courier New" w:cs="Courier New" w:eastAsia="Courier New"/>
          <w:b w:val="0"/>
          <w:color w:val="000000"/>
          <w:sz w:val="20"/>
        </w:rPr>
        <w:t xml:space="preserve">Electronically signed by: </w:t>
      </w:r>
      <w:r>
        <w:rPr>
          <w:rFonts w:ascii="Courier New" w:hAnsi="Courier New" w:cs="Courier New" w:eastAsia="Courier New"/>
          <w:b w:val="0"/>
          <w:color w:val="000000"/>
          <w:sz w:val="20"/>
        </w:rPr>
        <w:t>Priya Anand, PharmD</w:t>
      </w:r>
    </w:p>
    <w:p>
      <w:pPr>
        <w:spacing w:after="0" w:before="0"/>
      </w:pPr>
      <w:r>
        <w:rPr>
          <w:rFonts w:ascii="Courier New" w:hAnsi="Courier New" w:cs="Courier New" w:eastAsia="Courier New"/>
          <w:b w:val="0"/>
          <w:color w:val="000000"/>
          <w:sz w:val="20"/>
        </w:rPr>
        <w:t>Inpatient Clinical Pharmacist, Sanctum Regional Medical Center - Pharmacy</w:t>
      </w:r>
    </w:p>
    <w:p>
      <w:pPr>
        <w:spacing w:after="0" w:before="0"/>
      </w:pPr>
      <w:r>
        <w:rPr>
          <w:rFonts w:ascii="Courier New" w:hAnsi="Courier New" w:cs="Courier New" w:eastAsia="Courier New"/>
          <w:b w:val="0"/>
          <w:color w:val="000000"/>
          <w:sz w:val="20"/>
        </w:rPr>
        <w:t>License IL-PHARM-39204</w:t>
      </w:r>
    </w:p>
    <w:p>
      <w:pPr>
        <w:spacing w:after="0" w:before="0"/>
      </w:pPr>
      <w:r>
        <w:rPr>
          <w:rFonts w:ascii="Courier New" w:hAnsi="Courier New" w:cs="Courier New" w:eastAsia="Courier New"/>
          <w:b w:val="0"/>
          <w:color w:val="000000"/>
          <w:sz w:val="20"/>
        </w:rPr>
        <w:t>Date/Time signed: 06/15/2025  10:38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cs="Courier New" w:eastAsia="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