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val="0"/>
          <w:i w:val="0"/>
          <w:sz w:val="28"/>
        </w:rPr>
        <w:t>HOSPITAL MEDICINE - Progress Note</w:t>
      </w:r>
    </w:p>
    <w:p>
      <w:pPr>
        <w:spacing w:after="80"/>
      </w:pPr>
      <w:r>
        <w:rPr>
          <w:rFonts w:ascii="Times New Roman" w:hAnsi="Times New Roman"/>
          <w:b w:val="0"/>
          <w:i/>
          <w:sz w:val="20"/>
        </w:rPr>
        <w:t>Aileen Costa, MD (PGY-2) | Hospital Medicine | 06/18/2025 08:24</w:t>
      </w:r>
    </w:p>
    <w:p>
      <w:pPr>
        <w:spacing w:after="160"/>
      </w:pPr>
      <w:r>
        <w:rPr>
          <w:rFonts w:ascii="Times New Roman" w:hAnsi="Times New Roman"/>
          <w:b w:val="0"/>
          <w:i w:val="0"/>
          <w:sz w:val="20"/>
        </w:rPr>
        <w:t>Patient: Lydell, Marva    MRN: ML-7782304    DOB: 04/22/1953    Allergies: Lisinopril / ACE inhibitor class (angioedema, severe)</w:t>
      </w:r>
    </w:p>
    <w:p>
      <w:pPr>
        <w:spacing w:after="80"/>
      </w:pPr>
      <w:r>
        <w:rPr>
          <w:rFonts w:ascii="Times New Roman" w:hAnsi="Times New Roman"/>
          <w:b/>
          <w:i w:val="0"/>
          <w:sz w:val="24"/>
        </w:rPr>
        <w:t>HOSPITAL MEDICINE PROGRESS NOTE</w:t>
      </w:r>
    </w:p>
    <w:tbl>
      <w:tblPr>
        <w:tblW w:type="auto" w:w="0"/>
        <w:tblLayout w:type="fixed"/>
        <w:tblLook w:firstColumn="1" w:firstRow="1" w:lastColumn="0" w:lastRow="0" w:noHBand="0" w:noVBand="1" w:val="04A0"/>
      </w:tblPr>
      <w:tblGrid>
        <w:gridCol w:w="4680"/>
        <w:gridCol w:w="4680"/>
      </w:tblGrid>
      <w:tr>
        <w:tc>
          <w:tcPr>
            <w:tcW w:type="dxa" w:w="2880"/>
          </w:tcPr>
          <w:p>
            <w:pPr>
              <w:spacing w:before="0" w:after="0"/>
            </w:pPr>
            <w:r>
              <w:rPr>
                <w:rFonts w:ascii="Times New Roman" w:hAnsi="Times New Roman"/>
                <w:b w:val="0"/>
                <w:sz w:val="22"/>
              </w:rPr>
              <w:t>Patient:</w:t>
            </w:r>
          </w:p>
        </w:tc>
        <w:tc>
          <w:tcPr>
            <w:tcW w:type="dxa" w:w="6480"/>
          </w:tcPr>
          <w:p>
            <w:pPr>
              <w:spacing w:before="0" w:after="0"/>
            </w:pPr>
            <w:r>
              <w:rPr>
                <w:rFonts w:ascii="Times New Roman" w:hAnsi="Times New Roman"/>
                <w:sz w:val="22"/>
              </w:rPr>
              <w:t>Marva Lydell</w:t>
            </w:r>
          </w:p>
        </w:tc>
      </w:tr>
      <w:tr>
        <w:tc>
          <w:tcPr>
            <w:tcW w:type="dxa" w:w="2880"/>
          </w:tcPr>
          <w:p>
            <w:pPr>
              <w:spacing w:before="0" w:after="0"/>
            </w:pPr>
            <w:r>
              <w:rPr>
                <w:rFonts w:ascii="Times New Roman" w:hAnsi="Times New Roman"/>
                <w:b w:val="0"/>
                <w:sz w:val="22"/>
              </w:rPr>
              <w:t>MRN:</w:t>
            </w:r>
          </w:p>
        </w:tc>
        <w:tc>
          <w:tcPr>
            <w:tcW w:type="dxa" w:w="6480"/>
          </w:tcPr>
          <w:p>
            <w:pPr>
              <w:spacing w:before="0" w:after="0"/>
            </w:pPr>
            <w:r>
              <w:rPr>
                <w:rFonts w:ascii="Times New Roman" w:hAnsi="Times New Roman"/>
                <w:sz w:val="22"/>
              </w:rPr>
              <w:t>ML-7782304</w:t>
            </w:r>
          </w:p>
        </w:tc>
      </w:tr>
      <w:tr>
        <w:tc>
          <w:tcPr>
            <w:tcW w:type="dxa" w:w="2880"/>
          </w:tcPr>
          <w:p>
            <w:pPr>
              <w:spacing w:before="0" w:after="0"/>
            </w:pPr>
            <w:r>
              <w:rPr>
                <w:rFonts w:ascii="Times New Roman" w:hAnsi="Times New Roman"/>
                <w:b w:val="0"/>
                <w:sz w:val="22"/>
              </w:rPr>
              <w:t>Date / Time:</w:t>
            </w:r>
          </w:p>
        </w:tc>
        <w:tc>
          <w:tcPr>
            <w:tcW w:type="dxa" w:w="6480"/>
          </w:tcPr>
          <w:p>
            <w:pPr>
              <w:spacing w:before="0" w:after="0"/>
            </w:pPr>
            <w:r>
              <w:rPr>
                <w:rFonts w:ascii="Times New Roman" w:hAnsi="Times New Roman"/>
                <w:sz w:val="22"/>
              </w:rPr>
              <w:t>06/18/2025 08:24</w:t>
            </w:r>
          </w:p>
        </w:tc>
      </w:tr>
      <w:tr>
        <w:tc>
          <w:tcPr>
            <w:tcW w:type="dxa" w:w="2880"/>
          </w:tcPr>
          <w:p>
            <w:pPr>
              <w:spacing w:before="0" w:after="0"/>
            </w:pPr>
            <w:r>
              <w:rPr>
                <w:rFonts w:ascii="Times New Roman" w:hAnsi="Times New Roman"/>
                <w:b w:val="0"/>
                <w:sz w:val="22"/>
              </w:rPr>
              <w:t>Hospital Day:</w:t>
            </w:r>
          </w:p>
        </w:tc>
        <w:tc>
          <w:tcPr>
            <w:tcW w:type="dxa" w:w="6480"/>
          </w:tcPr>
          <w:p>
            <w:pPr>
              <w:spacing w:before="0" w:after="0"/>
            </w:pPr>
            <w:r>
              <w:rPr>
                <w:rFonts w:ascii="Times New Roman" w:hAnsi="Times New Roman"/>
                <w:sz w:val="22"/>
              </w:rPr>
              <w:t>6</w:t>
            </w:r>
          </w:p>
        </w:tc>
      </w:tr>
      <w:tr>
        <w:tc>
          <w:tcPr>
            <w:tcW w:type="dxa" w:w="2880"/>
          </w:tcPr>
          <w:p>
            <w:pPr>
              <w:spacing w:before="0" w:after="0"/>
            </w:pPr>
            <w:r>
              <w:rPr>
                <w:rFonts w:ascii="Times New Roman" w:hAnsi="Times New Roman"/>
                <w:b w:val="0"/>
                <w:sz w:val="22"/>
              </w:rPr>
              <w:t>Provider:</w:t>
            </w:r>
          </w:p>
        </w:tc>
        <w:tc>
          <w:tcPr>
            <w:tcW w:type="dxa" w:w="6480"/>
          </w:tcPr>
          <w:p>
            <w:pPr>
              <w:spacing w:before="0" w:after="0"/>
            </w:pPr>
            <w:r>
              <w:rPr>
                <w:rFonts w:ascii="Times New Roman" w:hAnsi="Times New Roman"/>
                <w:sz w:val="22"/>
              </w:rPr>
              <w:t>Aileen Costa, MD, PGY-2</w:t>
            </w:r>
          </w:p>
        </w:tc>
      </w:tr>
      <w:tr>
        <w:tc>
          <w:tcPr>
            <w:tcW w:type="dxa" w:w="2880"/>
          </w:tcPr>
          <w:p>
            <w:pPr>
              <w:spacing w:before="0" w:after="0"/>
            </w:pPr>
            <w:r>
              <w:rPr>
                <w:rFonts w:ascii="Times New Roman" w:hAnsi="Times New Roman"/>
                <w:b w:val="0"/>
                <w:sz w:val="22"/>
              </w:rPr>
              <w:t>Attending of record:</w:t>
            </w:r>
          </w:p>
        </w:tc>
        <w:tc>
          <w:tcPr>
            <w:tcW w:type="dxa" w:w="6480"/>
          </w:tcPr>
          <w:p>
            <w:pPr>
              <w:spacing w:before="0" w:after="0"/>
            </w:pPr>
            <w:r>
              <w:rPr>
                <w:rFonts w:ascii="Times New Roman" w:hAnsi="Times New Roman"/>
                <w:sz w:val="22"/>
              </w:rPr>
              <w:t>Marcus Thorne, MD</w:t>
            </w:r>
          </w:p>
        </w:tc>
      </w:tr>
      <w:tr>
        <w:tc>
          <w:tcPr>
            <w:tcW w:type="dxa" w:w="2880"/>
          </w:tcPr>
          <w:p>
            <w:pPr>
              <w:spacing w:before="0" w:after="0"/>
            </w:pPr>
            <w:r>
              <w:rPr>
                <w:rFonts w:ascii="Times New Roman" w:hAnsi="Times New Roman"/>
                <w:b w:val="0"/>
                <w:sz w:val="22"/>
              </w:rPr>
              <w:t>Unit / Room:</w:t>
            </w:r>
          </w:p>
        </w:tc>
        <w:tc>
          <w:tcPr>
            <w:tcW w:type="dxa" w:w="6480"/>
          </w:tcPr>
          <w:p>
            <w:pPr>
              <w:spacing w:before="0" w:after="0"/>
            </w:pPr>
            <w:r>
              <w:rPr>
                <w:rFonts w:ascii="Times New Roman" w:hAnsi="Times New Roman"/>
                <w:sz w:val="22"/>
              </w:rPr>
              <w:t>4 West Med-Surg / Room 4W-218</w:t>
            </w:r>
          </w:p>
        </w:tc>
      </w:tr>
    </w:tbl>
    <w:p>
      <w:pPr>
        <w:spacing w:after="40"/>
      </w:pPr>
      <w:r>
        <w:rPr>
          <w:rFonts w:ascii="Times New Roman" w:hAnsi="Times New Roman"/>
          <w:b w:val="0"/>
          <w:i w:val="0"/>
          <w:sz w:val="22"/>
        </w:rPr>
      </w:r>
    </w:p>
    <w:p>
      <w:pPr>
        <w:spacing w:before="120" w:after="40"/>
      </w:pPr>
      <w:r>
        <w:rPr>
          <w:rFonts w:ascii="Times New Roman" w:hAnsi="Times New Roman"/>
          <w:b/>
          <w:i w:val="0"/>
          <w:sz w:val="24"/>
        </w:rPr>
        <w:t>SUBJECTIVE</w:t>
      </w:r>
    </w:p>
    <w:p>
      <w:pPr>
        <w:spacing w:after="120"/>
      </w:pPr>
      <w:r>
        <w:rPr>
          <w:rFonts w:ascii="Times New Roman" w:hAnsi="Times New Roman"/>
          <w:b w:val="0"/>
          <w:i w:val="0"/>
          <w:sz w:val="22"/>
        </w:rPr>
        <w:t>Patient continues to feel better at rest. She ambulated short distances on the unit yesterday with her single-point cane and the nurse at the bedside but remains short of breath with exertion, asking to rest after walking past two doors. No chest pain, no palpitations, no orthopnea, no PND overnight. She slept on CPAP. Her daughter Tanielle visited yesterday afternoon and joined a brief bedside family conversation with the team; she states she is "ready to keep going" but is anxious about stairs at home and about managing oxygen on her own. Appetite fair. No new complaints overnight per nursing.</w:t>
      </w:r>
    </w:p>
    <w:p>
      <w:pPr>
        <w:spacing w:after="80"/>
      </w:pPr>
      <w:r>
        <w:rPr>
          <w:rFonts w:ascii="Times New Roman" w:hAnsi="Times New Roman"/>
          <w:b w:val="0"/>
          <w:i w:val="0"/>
          <w:sz w:val="22"/>
        </w:rPr>
        <w:t xml:space="preserve">VITALS (at rest, AM):  </w:t>
      </w:r>
      <w:r>
        <w:rPr>
          <w:rFonts w:ascii="Times New Roman" w:hAnsi="Times New Roman"/>
          <w:b w:val="0"/>
          <w:i w:val="0"/>
          <w:sz w:val="22"/>
        </w:rPr>
        <w:t>HR 78 (atrial fibrillation, rate-controlled) | BP 130/76 | RR 18 | Temp 36.5  C | SpO2 95% on 2 L NC | Wt 90.5 kg</w:t>
      </w:r>
    </w:p>
    <w:p>
      <w:pPr>
        <w:spacing w:after="120"/>
      </w:pPr>
      <w:r>
        <w:rPr>
          <w:rFonts w:ascii="Times New Roman" w:hAnsi="Times New Roman"/>
          <w:b w:val="0"/>
          <w:i w:val="0"/>
          <w:sz w:val="22"/>
        </w:rPr>
        <w:t xml:space="preserve">INTAKE / OUTPUT (24 h):  </w:t>
      </w:r>
      <w:r>
        <w:rPr>
          <w:rFonts w:ascii="Times New Roman" w:hAnsi="Times New Roman"/>
          <w:b w:val="0"/>
          <w:i w:val="0"/>
          <w:sz w:val="22"/>
        </w:rPr>
        <w:t>Net negative. Weight 90.5 kg, cumulatively down ~4.5 kg from admission weight 95 kg.</w:t>
      </w:r>
    </w:p>
    <w:p>
      <w:pPr>
        <w:spacing w:before="80" w:after="40"/>
      </w:pPr>
      <w:r>
        <w:rPr>
          <w:rFonts w:ascii="Times New Roman" w:hAnsi="Times New Roman"/>
          <w:b/>
          <w:i w:val="0"/>
          <w:sz w:val="24"/>
        </w:rPr>
        <w:t>LABS (06/18/2025 AM)</w:t>
      </w:r>
    </w:p>
    <w:p>
      <w:pPr>
        <w:spacing w:after="120"/>
      </w:pPr>
      <w:r>
        <w:rPr>
          <w:rFonts w:ascii="Times New Roman" w:hAnsi="Times New Roman"/>
          <w:b w:val="0"/>
          <w:i w:val="0"/>
          <w:sz w:val="22"/>
        </w:rPr>
        <w:t>Creatinine 2.0 mg/dL (HD4 2.1; admission 2.6; baseline ~1.7) - continuing to improve. BUN 30. Potassium 4.4 mEq/L. Hemoglobin 9.5 g/dL. NT-proBNP 2,200 pg/mL, continuing to trend down.</w:t>
      </w:r>
    </w:p>
    <w:p>
      <w:pPr>
        <w:spacing w:before="80" w:after="40"/>
      </w:pPr>
      <w:r>
        <w:rPr>
          <w:rFonts w:ascii="Times New Roman" w:hAnsi="Times New Roman"/>
          <w:b/>
          <w:i w:val="0"/>
          <w:sz w:val="24"/>
        </w:rPr>
        <w:t>PHYSICAL EXAM</w:t>
      </w:r>
    </w:p>
    <w:p>
      <w:pPr>
        <w:spacing w:after="40"/>
      </w:pPr>
      <w:r>
        <w:rPr>
          <w:rFonts w:ascii="Times New Roman" w:hAnsi="Times New Roman"/>
          <w:b w:val="0"/>
          <w:i w:val="0"/>
          <w:sz w:val="22"/>
        </w:rPr>
        <w:t xml:space="preserve">General:  </w:t>
      </w:r>
      <w:r>
        <w:rPr>
          <w:rFonts w:ascii="Times New Roman" w:hAnsi="Times New Roman"/>
          <w:b w:val="0"/>
          <w:i w:val="0"/>
          <w:sz w:val="22"/>
        </w:rPr>
        <w:t>comfortable at rest, speaking in full sentences.</w:t>
      </w:r>
    </w:p>
    <w:p>
      <w:pPr>
        <w:spacing w:after="40"/>
      </w:pPr>
      <w:r>
        <w:rPr>
          <w:rFonts w:ascii="Times New Roman" w:hAnsi="Times New Roman"/>
          <w:b w:val="0"/>
          <w:i w:val="0"/>
          <w:sz w:val="22"/>
        </w:rPr>
        <w:t xml:space="preserve">HEENT/Neck:  </w:t>
      </w:r>
      <w:r>
        <w:rPr>
          <w:rFonts w:ascii="Times New Roman" w:hAnsi="Times New Roman"/>
          <w:b w:val="0"/>
          <w:i w:val="0"/>
          <w:sz w:val="22"/>
        </w:rPr>
        <w:t>JVD ~5 cm above the sternal angle at 45 (down from ~6 cm on HD4).</w:t>
      </w:r>
    </w:p>
    <w:p>
      <w:pPr>
        <w:spacing w:after="40"/>
      </w:pPr>
      <w:r>
        <w:rPr>
          <w:rFonts w:ascii="Times New Roman" w:hAnsi="Times New Roman"/>
          <w:b w:val="0"/>
          <w:i w:val="0"/>
          <w:sz w:val="22"/>
        </w:rPr>
        <w:t xml:space="preserve">Lungs:  </w:t>
      </w:r>
      <w:r>
        <w:rPr>
          <w:rFonts w:ascii="Times New Roman" w:hAnsi="Times New Roman"/>
          <w:b w:val="0"/>
          <w:i w:val="0"/>
          <w:sz w:val="22"/>
        </w:rPr>
        <w:t>bases clearer; only scattered faint crackles at the right base; no wheeze at rest.</w:t>
      </w:r>
    </w:p>
    <w:p>
      <w:pPr>
        <w:spacing w:after="40"/>
      </w:pPr>
      <w:r>
        <w:rPr>
          <w:rFonts w:ascii="Times New Roman" w:hAnsi="Times New Roman"/>
          <w:b w:val="0"/>
          <w:i w:val="0"/>
          <w:sz w:val="22"/>
        </w:rPr>
        <w:t xml:space="preserve">CV:  </w:t>
      </w:r>
      <w:r>
        <w:rPr>
          <w:rFonts w:ascii="Times New Roman" w:hAnsi="Times New Roman"/>
          <w:b w:val="0"/>
          <w:i w:val="0"/>
          <w:sz w:val="22"/>
        </w:rPr>
        <w:t>irregularly irregular, rate well controlled, no new murmur, no rub.</w:t>
      </w:r>
    </w:p>
    <w:p>
      <w:pPr>
        <w:spacing w:after="40"/>
      </w:pPr>
      <w:r>
        <w:rPr>
          <w:rFonts w:ascii="Times New Roman" w:hAnsi="Times New Roman"/>
          <w:b w:val="0"/>
          <w:i w:val="0"/>
          <w:sz w:val="22"/>
        </w:rPr>
        <w:t xml:space="preserve">Extremities:  </w:t>
      </w:r>
      <w:r>
        <w:rPr>
          <w:rFonts w:ascii="Times New Roman" w:hAnsi="Times New Roman"/>
          <w:b w:val="0"/>
          <w:i w:val="0"/>
          <w:sz w:val="22"/>
        </w:rPr>
        <w:t>trace pitting edema bilaterally (improved from 1+).</w:t>
      </w:r>
    </w:p>
    <w:p>
      <w:pPr>
        <w:spacing w:before="120" w:after="40"/>
      </w:pPr>
      <w:r>
        <w:rPr>
          <w:rFonts w:ascii="Times New Roman" w:hAnsi="Times New Roman"/>
          <w:b/>
          <w:i w:val="0"/>
          <w:sz w:val="24"/>
        </w:rPr>
        <w:t>INTERVAL DATA REVIEWED</w:t>
      </w:r>
    </w:p>
    <w:p>
      <w:pPr>
        <w:spacing w:after="60"/>
      </w:pPr>
      <w:r>
        <w:rPr>
          <w:rFonts w:ascii="Times New Roman" w:hAnsi="Times New Roman"/>
          <w:b w:val="0"/>
          <w:i/>
          <w:sz w:val="22"/>
        </w:rPr>
        <w:t>Respiratory therapy walk test (06/17/2025, Reynel, RRT):</w:t>
      </w:r>
      <w:r>
        <w:rPr>
          <w:rFonts w:ascii="Times New Roman" w:hAnsi="Times New Roman"/>
          <w:b w:val="0"/>
          <w:i w:val="0"/>
          <w:sz w:val="22"/>
        </w:rPr>
        <w:t xml:space="preserve"> resting SpO2 acceptable on 2 L NC; with ambulation, exertional desaturation into the low 80s (nadir 82%) on 2 L NC, corrected to &gt;=90% only with portable oxygen titrated to 3 L/min. Six-minute walk distance 180 meters with two rest stops, limited by dyspnea and fatigue.</w:t>
      </w:r>
    </w:p>
    <w:p>
      <w:pPr>
        <w:spacing w:after="60"/>
      </w:pPr>
      <w:r>
        <w:rPr>
          <w:rFonts w:ascii="Times New Roman" w:hAnsi="Times New Roman"/>
          <w:b w:val="0"/>
          <w:i/>
          <w:sz w:val="22"/>
        </w:rPr>
        <w:t>PT evaluation (06/17, Pryce, DPT):</w:t>
      </w:r>
      <w:r>
        <w:rPr>
          <w:rFonts w:ascii="Times New Roman" w:hAnsi="Times New Roman"/>
          <w:b w:val="0"/>
          <w:i w:val="0"/>
          <w:sz w:val="22"/>
        </w:rPr>
        <w:t xml:space="preserve"> stairs unsafe at this time given exertional intolerance and oxygen requirement; bed mobility and short-distance ambulation with cane preserved.</w:t>
      </w:r>
    </w:p>
    <w:p>
      <w:pPr>
        <w:spacing w:after="60"/>
      </w:pPr>
      <w:r>
        <w:rPr>
          <w:rFonts w:ascii="Times New Roman" w:hAnsi="Times New Roman"/>
          <w:b w:val="0"/>
          <w:i/>
          <w:sz w:val="22"/>
        </w:rPr>
        <w:t>OT evaluation (06/17, Olom, OT):</w:t>
      </w:r>
      <w:r>
        <w:rPr>
          <w:rFonts w:ascii="Times New Roman" w:hAnsi="Times New Roman"/>
          <w:b w:val="0"/>
          <w:i w:val="0"/>
          <w:sz w:val="22"/>
        </w:rPr>
        <w:t xml:space="preserve"> ADL teach-back partial - oxygen setup-and-carry teach-back NOT achieved; energy conservation strategies taught and reinforced; will continue.</w:t>
      </w:r>
    </w:p>
    <w:p>
      <w:pPr>
        <w:spacing w:after="60"/>
      </w:pPr>
      <w:r>
        <w:rPr>
          <w:rFonts w:ascii="Times New Roman" w:hAnsi="Times New Roman"/>
          <w:b w:val="0"/>
          <w:i/>
          <w:sz w:val="22"/>
        </w:rPr>
        <w:t>Case management screen today (Carrow, RN, CCM) underway:</w:t>
      </w:r>
      <w:r>
        <w:rPr>
          <w:rFonts w:ascii="Times New Roman" w:hAnsi="Times New Roman"/>
          <w:b w:val="0"/>
          <w:i w:val="0"/>
          <w:sz w:val="22"/>
        </w:rPr>
        <w:t xml:space="preserve"> home is a two-story single-family residence with bedroom on the upper floor and a 14-step interior staircase; primary lay caregiver is the patient's daughter, work-limited (Mon-Fri full-time), willing within work-schedule limits; DME pending from Prairie Home Medical Equipment (portable oxygen).</w:t>
      </w:r>
    </w:p>
    <w:p>
      <w:pPr>
        <w:spacing w:after="60"/>
      </w:pPr>
      <w:r>
        <w:rPr>
          <w:rFonts w:ascii="Times New Roman" w:hAnsi="Times New Roman"/>
          <w:b w:val="0"/>
          <w:i/>
          <w:sz w:val="22"/>
        </w:rPr>
        <w:t>Family meeting (06/18) with Tanielle Lydell:</w:t>
      </w:r>
      <w:r>
        <w:rPr>
          <w:rFonts w:ascii="Times New Roman" w:hAnsi="Times New Roman"/>
          <w:b w:val="0"/>
          <w:i w:val="0"/>
          <w:sz w:val="22"/>
        </w:rPr>
        <w:t xml:space="preserve"> documented willingness to assist within work-schedule limits; concerns about stairs and oxygen acknowledged.</w:t>
      </w:r>
    </w:p>
    <w:p>
      <w:pPr>
        <w:spacing w:after="60"/>
      </w:pPr>
      <w:r>
        <w:rPr>
          <w:rFonts w:ascii="Times New Roman" w:hAnsi="Times New Roman"/>
          <w:b w:val="0"/>
          <w:i/>
          <w:sz w:val="22"/>
        </w:rPr>
        <w:t>Social work SDOH note placed (06/18).</w:t>
      </w:r>
      <w:r>
        <w:rPr>
          <w:rFonts w:ascii="Times New Roman" w:hAnsi="Times New Roman"/>
          <w:b w:val="0"/>
          <w:i w:val="0"/>
          <w:sz w:val="22"/>
        </w:rPr>
      </w:r>
    </w:p>
    <w:p>
      <w:pPr>
        <w:spacing w:after="60"/>
      </w:pPr>
      <w:r>
        <w:rPr>
          <w:rFonts w:ascii="Times New Roman" w:hAnsi="Times New Roman"/>
          <w:b w:val="0"/>
          <w:i/>
          <w:sz w:val="22"/>
        </w:rPr>
        <w:t>Nursing oxygen-use flowsheet (06/18):</w:t>
      </w:r>
      <w:r>
        <w:rPr>
          <w:rFonts w:ascii="Times New Roman" w:hAnsi="Times New Roman"/>
          <w:b w:val="0"/>
          <w:i w:val="0"/>
          <w:sz w:val="22"/>
        </w:rPr>
        <w:t xml:space="preserve"> portable-oxygen setup attempts at bedside documented; ambulation desaturation observed and corrected with portable oxygen flow titration.</w:t>
      </w:r>
    </w:p>
    <w:p>
      <w:pPr>
        <w:spacing w:before="120" w:after="40"/>
      </w:pPr>
      <w:r>
        <w:rPr>
          <w:rFonts w:ascii="Times New Roman" w:hAnsi="Times New Roman"/>
          <w:b/>
          <w:i w:val="0"/>
          <w:sz w:val="24"/>
        </w:rPr>
        <w:t>ASSESSMENT &amp; PLAN</w:t>
      </w:r>
    </w:p>
    <w:p>
      <w:pPr>
        <w:spacing w:after="80"/>
      </w:pPr>
      <w:r>
        <w:rPr>
          <w:rFonts w:ascii="Times New Roman" w:hAnsi="Times New Roman"/>
          <w:b w:val="0"/>
          <w:i w:val="0"/>
          <w:sz w:val="22"/>
        </w:rPr>
        <w:t>72-year-old woman with HFpEF, atrial fibrillation, CKD 3b-4, COPD, OSA, and T2DM admitted with acute decompensated HFpEF on cardiorenal physiology, HD6, continuing to decongest but with a complex transition picture.</w:t>
      </w:r>
    </w:p>
    <w:p>
      <w:pPr>
        <w:spacing w:after="60"/>
      </w:pPr>
      <w:r>
        <w:rPr>
          <w:rFonts w:ascii="Times New Roman" w:hAnsi="Times New Roman"/>
          <w:b w:val="0"/>
          <w:i w:val="0"/>
          <w:sz w:val="22"/>
        </w:rPr>
        <w:t>1. Acute decongested HFpEF</w:t>
      </w:r>
      <w:r>
        <w:rPr>
          <w:rFonts w:ascii="Times New Roman" w:hAnsi="Times New Roman"/>
          <w:b w:val="0"/>
          <w:i w:val="0"/>
          <w:sz w:val="22"/>
        </w:rPr>
        <w:t xml:space="preserve"> - improving. Convert to / continue PO torsemide 20 mg daily. Strict I/O, daily weights, 2 g sodium diet, fluid restriction 1.5 L. Cardiology following.</w:t>
      </w:r>
    </w:p>
    <w:p>
      <w:pPr>
        <w:spacing w:after="60"/>
      </w:pPr>
      <w:r>
        <w:rPr>
          <w:rFonts w:ascii="Times New Roman" w:hAnsi="Times New Roman"/>
          <w:b w:val="0"/>
          <w:i w:val="0"/>
          <w:sz w:val="22"/>
        </w:rPr>
        <w:t>2. AKI on CKD 3b-4</w:t>
      </w:r>
      <w:r>
        <w:rPr>
          <w:rFonts w:ascii="Times New Roman" w:hAnsi="Times New Roman"/>
          <w:b w:val="0"/>
          <w:i w:val="0"/>
          <w:sz w:val="22"/>
        </w:rPr>
        <w:t xml:space="preserve"> - improving, creatinine 2.0 today. Reassess electrolytes daily. Empagliflozin, spironolactone, losartan, and metformin remain held; restart deferred as a parameter-gated outpatient judgment per nephrology and primary care.</w:t>
      </w:r>
    </w:p>
    <w:p>
      <w:pPr>
        <w:spacing w:after="60"/>
      </w:pPr>
      <w:r>
        <w:rPr>
          <w:rFonts w:ascii="Times New Roman" w:hAnsi="Times New Roman"/>
          <w:b w:val="0"/>
          <w:i w:val="0"/>
          <w:sz w:val="22"/>
        </w:rPr>
        <w:t>3. Hypoxemia with exertional desaturation / COPD</w:t>
      </w:r>
      <w:r>
        <w:rPr>
          <w:rFonts w:ascii="Times New Roman" w:hAnsi="Times New Roman"/>
          <w:b w:val="0"/>
          <w:i w:val="0"/>
          <w:sz w:val="22"/>
        </w:rPr>
        <w:t xml:space="preserve"> - </w:t>
      </w:r>
      <w:r>
        <w:rPr>
          <w:rFonts w:ascii="Times New Roman" w:hAnsi="Times New Roman"/>
          <w:b w:val="0"/>
          <w:i w:val="0"/>
          <w:sz w:val="22"/>
        </w:rPr>
        <w:t>STILL ON OXYGEN WITH ACTIVITY.</w:t>
      </w:r>
      <w:r>
        <w:rPr>
          <w:rFonts w:ascii="Times New Roman" w:hAnsi="Times New Roman"/>
          <w:b w:val="0"/>
          <w:i w:val="0"/>
          <w:sz w:val="22"/>
        </w:rPr>
        <w:t xml:space="preserve"> Resting saturation acceptable on 2 L NC; formal walk test documents exertional desaturation requiring portable oxygen at 3 L/min for correction. Pulmonology and respiratory therapy following. Await DME delivery confirmation for portable oxygen from Prairie Home Medical Equipment; OT to re-attempt oxygen setup-and-carry teach-back once equipment is at bedside.</w:t>
      </w:r>
    </w:p>
    <w:p>
      <w:pPr>
        <w:spacing w:after="60"/>
      </w:pPr>
      <w:r>
        <w:rPr>
          <w:rFonts w:ascii="Times New Roman" w:hAnsi="Times New Roman"/>
          <w:b w:val="0"/>
          <w:i w:val="0"/>
          <w:sz w:val="22"/>
        </w:rPr>
        <w:t>4. Atrial fibrillation, rate-controlled</w:t>
      </w:r>
      <w:r>
        <w:rPr>
          <w:rFonts w:ascii="Times New Roman" w:hAnsi="Times New Roman"/>
          <w:b w:val="0"/>
          <w:i w:val="0"/>
          <w:sz w:val="22"/>
        </w:rPr>
        <w:t xml:space="preserve"> - metoprolol succinate 100 mg daily; apixaban 5 mg BID, single agent, renal-dose appropriate.</w:t>
      </w:r>
    </w:p>
    <w:p>
      <w:pPr>
        <w:spacing w:after="60"/>
      </w:pPr>
      <w:r>
        <w:rPr>
          <w:rFonts w:ascii="Times New Roman" w:hAnsi="Times New Roman"/>
          <w:b w:val="0"/>
          <w:i w:val="0"/>
          <w:sz w:val="22"/>
        </w:rPr>
        <w:t>5. T2DM</w:t>
      </w:r>
      <w:r>
        <w:rPr>
          <w:rFonts w:ascii="Times New Roman" w:hAnsi="Times New Roman"/>
          <w:b w:val="0"/>
          <w:i w:val="0"/>
          <w:sz w:val="22"/>
        </w:rPr>
        <w:t xml:space="preserve"> - basal insulin glargine 24 units nightly; inpatient prandial sliding scale, not for home carry-over.</w:t>
      </w:r>
    </w:p>
    <w:p>
      <w:pPr>
        <w:spacing w:after="60"/>
      </w:pPr>
      <w:r>
        <w:rPr>
          <w:rFonts w:ascii="Times New Roman" w:hAnsi="Times New Roman"/>
          <w:b w:val="0"/>
          <w:i w:val="0"/>
          <w:sz w:val="22"/>
        </w:rPr>
        <w:t>6. Anemia of CKD</w:t>
      </w:r>
      <w:r>
        <w:rPr>
          <w:rFonts w:ascii="Times New Roman" w:hAnsi="Times New Roman"/>
          <w:b w:val="0"/>
          <w:i w:val="0"/>
          <w:sz w:val="22"/>
        </w:rPr>
        <w:t xml:space="preserve"> - stable at 9.5; ferrous sulfate continued.</w:t>
      </w:r>
    </w:p>
    <w:p>
      <w:pPr>
        <w:spacing w:after="60"/>
      </w:pPr>
      <w:r>
        <w:rPr>
          <w:rFonts w:ascii="Times New Roman" w:hAnsi="Times New Roman"/>
          <w:b w:val="0"/>
          <w:i w:val="0"/>
          <w:sz w:val="22"/>
        </w:rPr>
        <w:t>7. Disposition / post-acute planning</w:t>
      </w:r>
      <w:r>
        <w:rPr>
          <w:rFonts w:ascii="Times New Roman" w:hAnsi="Times New Roman"/>
          <w:b w:val="0"/>
          <w:i w:val="0"/>
          <w:sz w:val="22"/>
        </w:rPr>
        <w:t xml:space="preserve"> - disposition screen underway; two-story home with work-limited caregiver and undelivered portable oxygen with teach-back not yet achieved are the operational gating items. PT/OT, case management, social work, and family engaged; post-acute planning ongoing.</w:t>
      </w:r>
    </w:p>
    <w:p>
      <w:pPr>
        <w:spacing w:after="60"/>
      </w:pPr>
      <w:r>
        <w:rPr>
          <w:rFonts w:ascii="Times New Roman" w:hAnsi="Times New Roman"/>
          <w:b w:val="0"/>
          <w:i w:val="0"/>
          <w:sz w:val="22"/>
        </w:rPr>
        <w:t>8. DVT prophylaxis, GI prophylaxis, code status Full Code.</w:t>
      </w:r>
      <w:r>
        <w:rPr>
          <w:rFonts w:ascii="Times New Roman" w:hAnsi="Times New Roman"/>
          <w:b w:val="0"/>
          <w:i w:val="0"/>
          <w:sz w:val="22"/>
        </w:rPr>
      </w:r>
    </w:p>
    <w:p>
      <w:pPr>
        <w:spacing w:after="40"/>
      </w:pPr>
      <w:r>
        <w:rPr>
          <w:rFonts w:ascii="Times New Roman" w:hAnsi="Times New Roman"/>
          <w:b w:val="0"/>
          <w:i w:val="0"/>
          <w:sz w:val="8"/>
        </w:rPr>
      </w:r>
    </w:p>
    <w:p>
      <w:pPr>
        <w:spacing w:after="40"/>
      </w:pPr>
      <w:r>
        <w:rPr>
          <w:rFonts w:ascii="Times New Roman" w:hAnsi="Times New Roman"/>
          <w:b w:val="0"/>
          <w:i/>
          <w:sz w:val="22"/>
        </w:rPr>
        <w:t>Electronically signed by: Aileen Costa, MD, PGY-2, Hospital Medicine</w:t>
      </w:r>
    </w:p>
    <w:p>
      <w:pPr>
        <w:spacing w:after="160"/>
      </w:pPr>
      <w:r>
        <w:rPr>
          <w:rFonts w:ascii="Times New Roman" w:hAnsi="Times New Roman"/>
          <w:b w:val="0"/>
          <w:i/>
          <w:sz w:val="22"/>
        </w:rPr>
        <w:t>Date: 06/18/2025 08:24</w:t>
      </w:r>
    </w:p>
    <w:p>
      <w:pPr>
        <w:spacing w:before="120" w:after="40"/>
      </w:pPr>
      <w:r>
        <w:rPr>
          <w:rFonts w:ascii="Times New Roman" w:hAnsi="Times New Roman"/>
          <w:b/>
          <w:i w:val="0"/>
          <w:sz w:val="24"/>
        </w:rPr>
        <w:t>ATTENDING ATTESTATION</w:t>
      </w:r>
    </w:p>
    <w:p>
      <w:pPr>
        <w:spacing w:after="120"/>
      </w:pPr>
      <w:r>
        <w:rPr>
          <w:rFonts w:ascii="Times New Roman" w:hAnsi="Times New Roman"/>
          <w:b w:val="0"/>
          <w:i w:val="0"/>
          <w:sz w:val="22"/>
        </w:rPr>
        <w:t>I personally saw and examined the patient on 06/18/2025, reviewed the AM labs and weights, the respiratory therapy walk test of 06/17, the PT and OT evaluations of 06/17, the case management screen in progress, the family meeting documentation, and the nursing oxygen-use flowsheet. I agree with the resident's findings, assessment, and plan. The patient continues to decongest medically (weight 90.5 kg, creatinine 2.0, NT-proBNP trending down) but exertional desaturation persists and is corrected only with portable oxygen, the home environment is two-story with a work-limited lay caregiver, and equipment and teach-back items are not yet closed. Disposition screen underway; post-acute planning ongoing.</w:t>
      </w:r>
    </w:p>
    <w:p>
      <w:pPr>
        <w:spacing w:after="40"/>
      </w:pPr>
      <w:r>
        <w:rPr>
          <w:rFonts w:ascii="Times New Roman" w:hAnsi="Times New Roman"/>
          <w:b w:val="0"/>
          <w:i/>
          <w:sz w:val="22"/>
        </w:rPr>
        <w:t>Electronically signed by: Marcus Thorne, MD, Hospitalist Attending</w:t>
      </w:r>
    </w:p>
    <w:p>
      <w:pPr>
        <w:spacing w:after="40"/>
      </w:pPr>
      <w:r>
        <w:rPr>
          <w:rFonts w:ascii="Times New Roman" w:hAnsi="Times New Roman"/>
          <w:b w:val="0"/>
          <w:i/>
          <w:sz w:val="22"/>
        </w:rPr>
        <w:t>Date: 06/18/2025 09:38</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