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ourier New" w:hAnsi="Courier New"/>
          <w:b w:val="0"/>
          <w:sz w:val="22"/>
        </w:rPr>
        <w:t>HOSPITAL MEDICINE - Progress Note (Evening Snapshot)</w:t>
      </w:r>
    </w:p>
    <w:p>
      <w:pPr>
        <w:spacing w:after="40" w:before="0"/>
      </w:pPr>
      <w:r>
        <w:rPr>
          <w:rFonts w:ascii="Courier New" w:hAnsi="Courier New"/>
          <w:sz w:val="20"/>
        </w:rPr>
        <w:t>Marcus Thorne, MD | Hospital Medicine | 06/19/2025 18:00</w:t>
      </w:r>
    </w:p>
    <w:p>
      <w:pPr>
        <w:spacing w:after="200" w:before="0"/>
      </w:pPr>
      <w:r>
        <w:rPr>
          <w:rFonts w:ascii="Courier New" w:hAnsi="Courier New"/>
          <w:sz w:val="20"/>
        </w:rPr>
        <w:t>Patient: Lydell, Marva   MRN: ML-7782304   DOB: 04/22/1953   Allergies: Lisinopril / ACE inhibitor class (angioedema, severe)</w:t>
      </w:r>
    </w:p>
    <w:p>
      <w:pPr>
        <w:spacing w:after="40" w:before="0"/>
      </w:pPr>
      <w:r>
        <w:rPr>
          <w:rFonts w:ascii="Courier New" w:hAnsi="Courier New"/>
          <w:b/>
          <w:sz w:val="22"/>
        </w:rPr>
        <w:t>HOSPITAL MEDICINE PROGRESS NOTE</w:t>
      </w:r>
    </w:p>
    <w:p>
      <w:pPr>
        <w:spacing w:after="40" w:before="0"/>
      </w:pPr>
      <w:r>
        <w:rPr>
          <w:rFonts w:ascii="Courier New" w:hAnsi="Courier New"/>
          <w:sz w:val="20"/>
        </w:rPr>
        <w:t>Patient: Marva Lydell | MRN: ML-7782304 | Encounter: ENC-20250613-7782304</w:t>
      </w:r>
    </w:p>
    <w:p>
      <w:pPr>
        <w:spacing w:after="40" w:before="0"/>
      </w:pPr>
      <w:r>
        <w:rPr>
          <w:rFonts w:ascii="Courier New" w:hAnsi="Courier New"/>
          <w:sz w:val="20"/>
        </w:rPr>
        <w:t>Date: 06/19/2025 18:00 | Hospital Day 7 | Provider: Marcus Thorne, MD - Hospitalist Attending (attending of record)</w:t>
      </w:r>
    </w:p>
    <w:p>
      <w:pPr>
        <w:spacing w:after="240" w:before="0"/>
      </w:pPr>
      <w:r>
        <w:rPr>
          <w:rFonts w:ascii="Courier New" w:hAnsi="Courier New"/>
          <w:sz w:val="20"/>
        </w:rPr>
        <w:t>Unit / Room: 4 West Med-Surg / Room 4W-218 | Note type: End-of-day snapshot, attending-authored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SUBJECTIVE:</w:t>
      </w:r>
    </w:p>
    <w:p>
      <w:pPr>
        <w:spacing w:after="200" w:before="0"/>
      </w:pPr>
      <w:r>
        <w:rPr>
          <w:rFonts w:ascii="Courier New" w:hAnsi="Courier New"/>
          <w:sz w:val="20"/>
        </w:rPr>
        <w:t>Patient reports feeling better at rest today and slept on CPAP overnight without orthopnea or PND. She tires with any meaningful ambulation - short walks on the unit with her single-point cane continue to provoke dyspnea and require rest after roughly two doorways' distance. No chest pain, palpitations, or new cough. Appetite fair; she tolerated her 2 g sodium tray. Her daughter Tanielle is at the bedside this evening after work and participated in today's heart-failure education and discharge-rights review. Tanielle reiterates willingness to help within her Monday-Friday work schedule and again voices concern about the upstairs bedroom and managing portable oxygen between rooms.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 xml:space="preserve">VITALS (at rest, evening): </w:t>
      </w:r>
      <w:r>
        <w:rPr>
          <w:rFonts w:ascii="Courier New" w:hAnsi="Courier New"/>
          <w:sz w:val="20"/>
        </w:rPr>
        <w:t>HR 76 (atrial fibrillation, rate-controlled) | BP 128/74 | RR 18 | Temp 36.6 C | SpO2 95% on 2 L NC | Wt 90 kg</w:t>
      </w:r>
    </w:p>
    <w:p>
      <w:pPr>
        <w:spacing w:after="200" w:before="0"/>
      </w:pPr>
      <w:r>
        <w:rPr>
          <w:rFonts w:ascii="Courier New" w:hAnsi="Courier New"/>
          <w:sz w:val="20"/>
        </w:rPr>
        <w:t>SpO2 94-96% on 2 L NC at rest. Activity-related oxygen requirements documented by respiratory therapy and rehabilitation services.</w:t>
      </w:r>
    </w:p>
    <w:p>
      <w:pPr>
        <w:spacing w:after="200" w:before="0"/>
      </w:pPr>
      <w:r>
        <w:rPr>
          <w:rFonts w:ascii="Courier New" w:hAnsi="Courier New"/>
          <w:b w:val="0"/>
          <w:sz w:val="20"/>
        </w:rPr>
        <w:t xml:space="preserve">INTAKE / OUTPUT (24 h): </w:t>
      </w:r>
      <w:r>
        <w:rPr>
          <w:rFonts w:ascii="Courier New" w:hAnsi="Courier New"/>
          <w:sz w:val="20"/>
        </w:rPr>
        <w:t>Net negative on PO torsemide. Weight 90 kg, cumulatively down ~5 kg from admission weight 95 kg, ~2 kg over outpatient dry weight 88 kg.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LABS (06/19/2025):</w:t>
      </w:r>
    </w:p>
    <w:p>
      <w:pPr>
        <w:spacing w:after="40" w:before="0"/>
      </w:pPr>
      <w:r>
        <w:rPr>
          <w:rFonts w:ascii="Courier New" w:hAnsi="Courier New"/>
          <w:sz w:val="20"/>
        </w:rPr>
        <w:t>Creatinine 1.9 mg/dL (HD6 2.0; admission 2.6; outpatient baseline 1.7) - improving toward baseline.</w:t>
      </w:r>
    </w:p>
    <w:p>
      <w:pPr>
        <w:spacing w:after="40" w:before="0"/>
      </w:pPr>
      <w:r>
        <w:rPr>
          <w:rFonts w:ascii="Courier New" w:hAnsi="Courier New"/>
          <w:sz w:val="20"/>
        </w:rPr>
        <w:t>BUN 28 mg/dL.</w:t>
      </w:r>
    </w:p>
    <w:p>
      <w:pPr>
        <w:spacing w:after="40" w:before="0"/>
      </w:pPr>
      <w:r>
        <w:rPr>
          <w:rFonts w:ascii="Courier New" w:hAnsi="Courier New"/>
          <w:sz w:val="20"/>
        </w:rPr>
        <w:t>Potassium 4.4 mEq/L.</w:t>
      </w:r>
    </w:p>
    <w:p>
      <w:pPr>
        <w:spacing w:after="40" w:before="0"/>
      </w:pPr>
      <w:r>
        <w:rPr>
          <w:rFonts w:ascii="Courier New" w:hAnsi="Courier New"/>
          <w:sz w:val="20"/>
        </w:rPr>
        <w:t>Hemoglobin 9.5 g/dL (baseline ~10.0).</w:t>
      </w:r>
    </w:p>
    <w:p>
      <w:pPr>
        <w:spacing w:after="200" w:before="0"/>
      </w:pPr>
      <w:r>
        <w:rPr>
          <w:rFonts w:ascii="Courier New" w:hAnsi="Courier New"/>
          <w:sz w:val="20"/>
        </w:rPr>
        <w:t>NT-proBNP 1,940 pg/mL (admission 4,820) - falling with decongestion.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PHYSICAL EXAM: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 xml:space="preserve">General: </w:t>
      </w:r>
      <w:r>
        <w:rPr>
          <w:rFonts w:ascii="Courier New" w:hAnsi="Courier New"/>
          <w:sz w:val="20"/>
        </w:rPr>
        <w:t>comfortable at rest, speaking in full sentences on 2 L NC.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 xml:space="preserve">HEENT/Neck: </w:t>
      </w:r>
      <w:r>
        <w:rPr>
          <w:rFonts w:ascii="Courier New" w:hAnsi="Courier New"/>
          <w:sz w:val="20"/>
        </w:rPr>
        <w:t>JVD ~5 cm above the sternal angle at 45 degrees.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 xml:space="preserve">Lungs: </w:t>
      </w:r>
      <w:r>
        <w:rPr>
          <w:rFonts w:ascii="Courier New" w:hAnsi="Courier New"/>
          <w:sz w:val="20"/>
        </w:rPr>
        <w:t>nearly clear; only faint trace crackles at the right base; no wheeze at rest.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 xml:space="preserve">CV: </w:t>
      </w:r>
      <w:r>
        <w:rPr>
          <w:rFonts w:ascii="Courier New" w:hAnsi="Courier New"/>
          <w:sz w:val="20"/>
        </w:rPr>
        <w:t>irregularly irregular, rate well controlled, no new murmur, no rub.</w:t>
      </w:r>
    </w:p>
    <w:p>
      <w:pPr>
        <w:spacing w:after="200" w:before="0"/>
      </w:pPr>
      <w:r>
        <w:rPr>
          <w:rFonts w:ascii="Courier New" w:hAnsi="Courier New"/>
          <w:b w:val="0"/>
          <w:sz w:val="20"/>
        </w:rPr>
        <w:t xml:space="preserve">Extremities: </w:t>
      </w:r>
      <w:r>
        <w:rPr>
          <w:rFonts w:ascii="Courier New" w:hAnsi="Courier New"/>
          <w:sz w:val="20"/>
        </w:rPr>
        <w:t>trace pitting edema bilaterally (improved).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INTERVAL DATA REVIEWED:</w:t>
      </w:r>
    </w:p>
    <w:p>
      <w:pPr>
        <w:spacing w:after="200" w:before="0"/>
      </w:pPr>
      <w:r>
        <w:rPr>
          <w:rFonts w:ascii="Courier New" w:hAnsi="Courier New"/>
          <w:sz w:val="20"/>
        </w:rPr>
        <w:t>Respiratory therapy (06/17) - activity-related oxygen requirements documented; see RT note for findings. PT (06/17, Pryce, DPT) - stairs unsafe at this time. OT (06/17, Olom, OT) - energy conservation reinforced; see OT note for self-management status. Case management screen (06/18, Carrow, RN, CCM) - two-story single-family home with bedroom on the upper floor and a 14-step interior staircase, work-limited primary lay caregiver (daughter, Mon-Fri full-time), portable oxygen pending from Prairie Home Medical Equipment. Family meeting (06/18) - willingness within work-schedule limits documented. Nursing oxygen-use flowsheet (06/18) - bedside setup attempts and ambulation desaturation observed.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ASSESSMENT &amp; PLAN:</w:t>
      </w:r>
    </w:p>
    <w:p>
      <w:pPr>
        <w:spacing w:after="160" w:before="0"/>
      </w:pPr>
      <w:r>
        <w:rPr>
          <w:rFonts w:ascii="Courier New" w:hAnsi="Courier New"/>
          <w:sz w:val="20"/>
        </w:rPr>
        <w:t>72-year-old woman with HFpEF, atrial fibrillation on apixaban, CKD 3b-4, COPD, OSA, and T2DM, Hospital Day 7 of acute decompensated HFpEF on cardiorenal physiology. End-of-day state: medically improving on diuresis, with transition-readiness items still open.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1. Acute decompensated HFpEF - improving with diuresis. </w:t>
      </w:r>
      <w:r>
        <w:rPr>
          <w:rFonts w:ascii="Courier New" w:hAnsi="Courier New"/>
          <w:sz w:val="20"/>
        </w:rPr>
        <w:t>Weight 90 kg (down ~5 kg from admission, ~2 kg over dry), JVD 5 cm, nearly clear lungs, trace edema, NT-proBNP 1,940 pg/mL. Continue PO torsemide 20 mg daily, daily weights, strict I/O, 2 g sodium diet, 1.5 L fluid restriction. Cardiology following.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2. AKI on CKD 3b-4 - improving toward baseline. </w:t>
      </w:r>
      <w:r>
        <w:rPr>
          <w:rFonts w:ascii="Courier New" w:hAnsi="Courier New"/>
          <w:sz w:val="20"/>
        </w:rPr>
        <w:t>Creatinine 1.9 today, K 4.4, BUN 28. Empagliflozin, spironolactone, losartan, and metformin remain on signed inpatient hold from admission and are explicitly documented as DEFERRED-RESTART, parameter-gated to renal recovery, assigned to nephrology (Dr. Lund) and primary care (Dr. Briarwood).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3. Hypoxemia with exertional desaturation on supplemental oxygen. Activity-related oxygen assessment performed; portable-oxygen upgrade under coordination through Prairie Home Medical Equipment per case management; patient education ongoing per OT - see respiratory therapy, OT, and DME documentation for current status. Pulmonology and respiratory therapy following; equipment and education remain OPEN items with named owners.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4. Atrial fibrillation, rate-controlled, anticoagulated. Metoprolol succinate 100 mg daily. Apixaban continues at the prior renal-reviewed dose of apixaban 5 mg BID on current dosing; renal-dose and duplication review on file from inpatient pharmacy. Aspirin 81 mg daily continued as the sole antiplatelet.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5. Deconditioning. </w:t>
      </w:r>
      <w:r>
        <w:rPr>
          <w:rFonts w:ascii="Courier New" w:hAnsi="Courier New"/>
          <w:sz w:val="20"/>
        </w:rPr>
        <w:t>Two-story home with upper-floor bedroom and a 14-step interior staircase; work-limited primary lay caregiver; portable oxygen logistics coordinated through case management and DME vendor with patient education ongoing per OT; PT documents stairs unsafe at this time. Post-acute planning continues with case management, social work, PT/OT, and family.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6. T2DM </w:t>
      </w:r>
      <w:r>
        <w:rPr>
          <w:rFonts w:ascii="Courier New" w:hAnsi="Courier New"/>
          <w:sz w:val="20"/>
        </w:rPr>
        <w:t>- basal insulin glargine 24 units nightly; inpatient prandial sliding scale is inpatient-only and not to be carried home. Metformin held under item 2.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7. Anemia of CKD </w:t>
      </w:r>
      <w:r>
        <w:rPr>
          <w:rFonts w:ascii="Courier New" w:hAnsi="Courier New"/>
          <w:sz w:val="20"/>
        </w:rPr>
        <w:t>- stable at 9.5; ferrous sulfate continued.</w:t>
      </w:r>
    </w:p>
    <w:p>
      <w:pPr>
        <w:spacing w:after="240" w:before="0"/>
      </w:pPr>
      <w:r>
        <w:rPr>
          <w:rFonts w:ascii="Courier New" w:hAnsi="Courier New"/>
          <w:b w:val="0"/>
          <w:sz w:val="20"/>
        </w:rPr>
        <w:t>8. DVT prophylaxis, GI prophylaxis, code status Full Code.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PATIENT-FACING DOCUMENTS ISSUED TODAY:</w:t>
      </w:r>
    </w:p>
    <w:p>
      <w:pPr>
        <w:spacing w:after="40" w:before="0"/>
      </w:pPr>
      <w:r>
        <w:rPr>
          <w:rFonts w:ascii="Courier New" w:hAnsi="Courier New"/>
          <w:sz w:val="20"/>
        </w:rPr>
        <w:t>- Heart-failure self-management education handout issued and reviewed at the bedside with patient and daughter (06/19).</w:t>
      </w:r>
    </w:p>
    <w:p>
      <w:pPr>
        <w:spacing w:after="240" w:before="0"/>
      </w:pPr>
      <w:r>
        <w:rPr>
          <w:rFonts w:ascii="Courier New" w:hAnsi="Courier New"/>
          <w:sz w:val="20"/>
        </w:rPr>
        <w:t>- Medicare discharge-rights notice issued to the patient (Sentinel Advantage Choice PPO; Medicare Beneficiary ID 1ML-G24-7782) per regulatory requirement (06/19).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STATE OF READINESS - END OF HOSPITAL DAY 7:</w:t>
      </w:r>
    </w:p>
    <w:p>
      <w:pPr>
        <w:spacing w:after="280" w:before="0"/>
      </w:pPr>
      <w:r>
        <w:rPr>
          <w:rFonts w:ascii="Courier New" w:hAnsi="Courier New"/>
          <w:sz w:val="20"/>
        </w:rPr>
        <w:t>Open operational items at end of HD7: portable oxygen logistics and patient education coordination, stair clearance versus the upper-floor bedroom, work-limited caregiver coverage, and parameter-gated restart ownership for the four held cardiorenal/diabetes oral agents. Each item has a named owner documented in the plan above.</w:t>
      </w:r>
    </w:p>
    <w:p>
      <w:pPr>
        <w:spacing w:after="40" w:before="0"/>
      </w:pPr>
      <w:r>
        <w:rPr>
          <w:rFonts w:ascii="Courier New" w:hAnsi="Courier New"/>
          <w:sz w:val="20"/>
        </w:rPr>
        <w:t>Electronically signed by: Marcus Thorne, MD, Hospitalist Attending (attending of record)</w:t>
      </w:r>
    </w:p>
    <w:p>
      <w:pPr>
        <w:spacing w:after="0" w:before="0"/>
      </w:pPr>
      <w:r>
        <w:rPr>
          <w:rFonts w:ascii="Courier New" w:hAnsi="Courier New"/>
          <w:sz w:val="20"/>
        </w:rPr>
        <w:t>Date: 06/19/2025 18:00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