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26"/>
        </w:rPr>
        <w:t>CLINICAL DOCUMENTATION INTEGRITY - PHYSICIAN QUERY</w:t>
      </w:r>
    </w:p>
    <w:p>
      <w:pPr>
        <w:spacing w:before="0" w:after="0"/>
        <w:jc w:val="center"/>
      </w:pPr>
      <w:r>
        <w:rPr>
          <w:rFonts w:ascii="Calibri" w:hAnsi="Calibri"/>
          <w:b w:val="0"/>
          <w:i w:val="0"/>
          <w:sz w:val="21"/>
        </w:rPr>
        <w:t>Sanctum Regional Medical Center  -  Clinical Documentation Integrity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sz w:val="19"/>
        </w:rPr>
        <w:t>1450 Wycliffe Boulevard, Cedar Falls, IL 60481</w:t>
      </w:r>
    </w:p>
    <w:p>
      <w:pPr>
        <w:spacing w:before="40" w:after="80"/>
        <w:pBdr>
          <w:bottom w:val="single" w:sz="6" w:space="1" w:color="666666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To: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Marcus Thorne, MD - Hospitalist Attending (attending of record)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From: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Hollis Bramwell, RN, CCDS - Clinical Documentation Integrity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Patient: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Marva Lydell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MRN: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ML-7782304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Index Encounter: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ENC-20250613-7782304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Discharge Date: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06/22/2025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Query Date: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06/26/2025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Query ID: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CDIQ-2025-0612</w:t>
            </w:r>
          </w:p>
        </w:tc>
      </w:tr>
      <w:tr>
        <w:tc>
          <w:tcPr>
            <w:tcW w:type="dxa" w:w="266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Response Requested By:</w:t>
            </w:r>
          </w:p>
        </w:tc>
        <w:tc>
          <w:tcPr>
            <w:tcW w:type="dxa" w:w="6984"/>
            <w:vAlign w:val="top"/>
            <w:tcBorders>
              <w:top w:val="nil" w:sz="4" w:color="000000"/>
              <w:left w:val="nil" w:sz="4" w:color="000000"/>
              <w:bottom w:val="single" w:sz="4" w:color="CCCCCC"/>
              <w:right w:val="nil" w:sz="4" w:color="000000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06/28/2025 (within 48 hours)</w:t>
            </w:r>
          </w:p>
        </w:tc>
      </w:tr>
    </w:tbl>
    <w:p>
      <w:pPr>
        <w:spacing w:before="40" w:after="80"/>
        <w:pBdr>
          <w:bottom w:val="single" w:sz="6" w:space="1" w:color="666666"/>
        </w:pBdr>
      </w:pPr>
    </w:p>
    <w:p>
      <w:pPr>
        <w:spacing w:before="40" w:after="80"/>
        <w:jc w:val="both"/>
      </w:pPr>
      <w:r>
        <w:rPr>
          <w:rFonts w:ascii="Calibri" w:hAnsi="Calibri"/>
          <w:sz w:val="21"/>
        </w:rPr>
        <w:t>This memo is a non-leading documentation clarification request on the above index encounter. Three items are presented for your review. For each, please mark Agree or Disagree and supply a brief clinical rationale. If a proposed clarification is not clinically supportable, please decline; the chart governs.</w:t>
      </w:r>
    </w:p>
    <w:p>
      <w:pPr>
        <w:spacing w:before="40" w:after="80"/>
        <w:pBdr>
          <w:bottom w:val="single" w:sz="6" w:space="1" w:color="666666"/>
        </w:pBdr>
      </w:pPr>
    </w:p>
    <w:p>
      <w:pPr>
        <w:spacing w:before="120" w:after="60"/>
      </w:pPr>
      <w:r>
        <w:rPr>
          <w:rFonts w:ascii="Calibri" w:hAnsi="Calibri"/>
          <w:b w:val="0"/>
          <w:sz w:val="23"/>
        </w:rPr>
        <w:t>1.  ACUTE RESPIRATORY FAILURE - clarification of acuity</w:t>
      </w:r>
    </w:p>
    <w:p>
      <w:pPr>
        <w:spacing w:before="40" w:after="60"/>
        <w:jc w:val="both"/>
      </w:pPr>
      <w:r>
        <w:rPr>
          <w:rFonts w:ascii="Calibri" w:hAnsi="Calibri"/>
          <w:b w:val="0"/>
          <w:sz w:val="21"/>
        </w:rPr>
        <w:t>Clinical evidence summarized from the record.</w:t>
      </w:r>
      <w:r>
        <w:rPr>
          <w:rFonts w:ascii="Calibri" w:hAnsi="Calibri"/>
          <w:sz w:val="21"/>
        </w:rPr>
        <w:t xml:space="preserve"> ED physician note 06/13/2025 documents room-air SpO2 88% on presentation with dyspnea and lower-extremity edema. Supplemental oxygen was initiated and continued through the stay. Respiratory therapy oxygen titration and six-minute walk test (06/17/2025, Reynel, RRT) document exertional desaturation into the low 80s on 2 L NC, corrected to &gt;=90% only with portable oxygen titrated to 3 L/min. Pulmonology consult (06/16/2025, Quayle, MD) addresses chronic hypoxemia and COPD contribution. Patient's outpatient baseline includes home oxygen 2 L/min nocturnal and with exertion.</w:t>
      </w:r>
    </w:p>
    <w:p>
      <w:pPr>
        <w:spacing w:before="40" w:after="60"/>
        <w:jc w:val="both"/>
      </w:pPr>
      <w:r>
        <w:rPr>
          <w:rFonts w:ascii="Calibri" w:hAnsi="Calibri"/>
          <w:b w:val="0"/>
          <w:sz w:val="21"/>
        </w:rPr>
        <w:t>Proposed clarification.</w:t>
      </w:r>
      <w:r>
        <w:rPr>
          <w:rFonts w:ascii="Calibri" w:hAnsi="Calibri"/>
          <w:b w:val="0"/>
          <w:sz w:val="21"/>
        </w:rPr>
        <w:t xml:space="preserve"> Documentation reflects hypoxemia (RA SpO2 88% on admission), use of supplemental oxygen, and exertional desaturation. Please consider documenting </w:t>
      </w:r>
      <w:r>
        <w:rPr>
          <w:rFonts w:ascii="Calibri" w:hAnsi="Calibri"/>
          <w:b w:val="0"/>
          <w:sz w:val="21"/>
        </w:rPr>
        <w:t>acute respiratory failure</w:t>
      </w:r>
      <w:r>
        <w:rPr>
          <w:rFonts w:ascii="Calibri" w:hAnsi="Calibri"/>
          <w:b w:val="0"/>
          <w:sz w:val="21"/>
        </w:rPr>
        <w:t xml:space="preserve"> if clinically appropriate to support severity capture and DRG accuracy.</w:t>
      </w:r>
    </w:p>
    <w:p>
      <w:pPr>
        <w:spacing w:before="80" w:after="40"/>
      </w:pPr>
      <w:r>
        <w:rPr>
          <w:rFonts w:ascii="Calibri" w:hAnsi="Calibri"/>
          <w:b w:val="0"/>
          <w:sz w:val="21"/>
        </w:rPr>
        <w:t xml:space="preserve">Attending response:   </w:t>
      </w:r>
      <w:r>
        <w:rPr>
          <w:rFonts w:ascii="Calibri" w:hAnsi="Calibri"/>
          <w:sz w:val="21"/>
        </w:rPr>
        <w:t>[ ] Agree     [ ] Disagree     [ ] Clinically undetermined</w:t>
      </w:r>
    </w:p>
    <w:p>
      <w:pPr>
        <w:spacing w:before="80" w:after="0"/>
      </w:pPr>
      <w:r>
        <w:rPr>
          <w:rFonts w:ascii="Calibri" w:hAnsi="Calibri"/>
          <w:b/>
          <w:sz w:val="21"/>
        </w:rPr>
        <w:t>Rationale:</w:t>
      </w:r>
    </w:p>
    <w:p>
      <w:pPr>
        <w:spacing w:before="40" w:after="40"/>
      </w:pPr>
      <w:r>
        <w:rPr>
          <w:rFonts w:ascii="Calibri" w:hAnsi="Calibri"/>
          <w:sz w:val="21"/>
        </w:rPr>
        <w:t>_______________________________________________________________________________________________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sz w:val="21"/>
        </w:rPr>
        <w:t>_______________________________________________________________________________________________</w:t>
      </w:r>
    </w:p>
    <w:p>
      <w:pPr>
        <w:spacing w:before="40" w:after="80"/>
        <w:pBdr>
          <w:bottom w:val="single" w:sz="6" w:space="1" w:color="666666"/>
        </w:pBdr>
      </w:pPr>
    </w:p>
    <w:p>
      <w:pPr>
        <w:spacing w:before="120" w:after="60"/>
      </w:pPr>
      <w:r>
        <w:rPr>
          <w:rFonts w:ascii="Calibri" w:hAnsi="Calibri"/>
          <w:b w:val="0"/>
          <w:sz w:val="23"/>
        </w:rPr>
        <w:t>2.  CARDIORENAL SYNDROME - clarification of type and severity stage</w:t>
      </w:r>
    </w:p>
    <w:p>
      <w:pPr>
        <w:spacing w:before="40" w:after="60"/>
        <w:jc w:val="both"/>
      </w:pPr>
      <w:r>
        <w:rPr>
          <w:rFonts w:ascii="Calibri" w:hAnsi="Calibri"/>
          <w:b w:val="0"/>
          <w:sz w:val="21"/>
        </w:rPr>
        <w:t>Clinical evidence summarized from the record.</w:t>
      </w:r>
      <w:r>
        <w:rPr>
          <w:rFonts w:ascii="Calibri" w:hAnsi="Calibri"/>
          <w:sz w:val="21"/>
        </w:rPr>
        <w:t xml:space="preserve"> Admission creatinine 06/13/2025 was 2.6 mg/dL against outpatient baseline 1.7 mg/dL (eGFR ~30, CKD 3b-4). Cardiology consult 06/14/2025 (Varma, MD) confirmed HFpEF with EF 60% and diastolic dysfunction and mildly elevated filling pressures, framed as a volume problem. Nephrology consult 06/15/2025 (Lund, MD) describes the renal injury in the setting of acute heart-failure decompensation, with RAAS and MRA held pending potassium and creatinine. Creatinine trended to 1.9 mg/dL by 06/19/2025 with continued PO diuresis.</w:t>
      </w:r>
    </w:p>
    <w:p>
      <w:pPr>
        <w:spacing w:before="40" w:after="60"/>
        <w:jc w:val="both"/>
      </w:pPr>
      <w:r>
        <w:rPr>
          <w:rFonts w:ascii="Calibri" w:hAnsi="Calibri"/>
          <w:b w:val="0"/>
          <w:sz w:val="21"/>
        </w:rPr>
        <w:t>Proposed clarification.</w:t>
      </w:r>
      <w:r>
        <w:rPr>
          <w:rFonts w:ascii="Calibri" w:hAnsi="Calibri"/>
          <w:b w:val="0"/>
          <w:sz w:val="21"/>
        </w:rPr>
        <w:t xml:space="preserve"> Documentation reflects creatinine elevation in the setting of acute HF decompensation. Please consider whether </w:t>
      </w:r>
      <w:r>
        <w:rPr>
          <w:rFonts w:ascii="Calibri" w:hAnsi="Calibri"/>
          <w:b w:val="0"/>
          <w:sz w:val="21"/>
        </w:rPr>
        <w:t>cardiorenal syndrome Type 1 acute</w:t>
      </w:r>
      <w:r>
        <w:rPr>
          <w:rFonts w:ascii="Calibri" w:hAnsi="Calibri"/>
          <w:b w:val="0"/>
          <w:sz w:val="21"/>
        </w:rPr>
        <w:t xml:space="preserve"> should be documented to specify the renal-cardiac relationship and the corresponding severity stage.</w:t>
      </w:r>
    </w:p>
    <w:p>
      <w:pPr>
        <w:spacing w:before="80" w:after="40"/>
      </w:pPr>
      <w:r>
        <w:rPr>
          <w:rFonts w:ascii="Calibri" w:hAnsi="Calibri"/>
          <w:b w:val="0"/>
          <w:sz w:val="21"/>
        </w:rPr>
        <w:t xml:space="preserve">Attending response:   </w:t>
      </w:r>
      <w:r>
        <w:rPr>
          <w:rFonts w:ascii="Calibri" w:hAnsi="Calibri"/>
          <w:sz w:val="21"/>
        </w:rPr>
        <w:t>[ ] Agree     [ ] Disagree     [ ] Clinically undetermined</w:t>
      </w:r>
    </w:p>
    <w:p>
      <w:pPr>
        <w:spacing w:before="80" w:after="0"/>
      </w:pPr>
      <w:r>
        <w:rPr>
          <w:rFonts w:ascii="Calibri" w:hAnsi="Calibri"/>
          <w:b/>
          <w:sz w:val="21"/>
        </w:rPr>
        <w:t>Rationale:</w:t>
      </w:r>
    </w:p>
    <w:p>
      <w:pPr>
        <w:spacing w:before="40" w:after="40"/>
      </w:pPr>
      <w:r>
        <w:rPr>
          <w:rFonts w:ascii="Calibri" w:hAnsi="Calibri"/>
          <w:sz w:val="21"/>
        </w:rPr>
        <w:t>_______________________________________________________________________________________________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sz w:val="21"/>
        </w:rPr>
        <w:t>_______________________________________________________________________________________________</w:t>
      </w:r>
    </w:p>
    <w:p>
      <w:pPr>
        <w:spacing w:before="40" w:after="80"/>
        <w:pBdr>
          <w:bottom w:val="single" w:sz="6" w:space="1" w:color="666666"/>
        </w:pBdr>
      </w:pPr>
    </w:p>
    <w:p>
      <w:pPr>
        <w:spacing w:before="120" w:after="60"/>
      </w:pPr>
      <w:r>
        <w:rPr>
          <w:rFonts w:ascii="Calibri" w:hAnsi="Calibri"/>
          <w:b w:val="0"/>
          <w:sz w:val="23"/>
        </w:rPr>
        <w:t>3.  HFpEF acuity - confirmation of specificity</w:t>
      </w:r>
    </w:p>
    <w:p>
      <w:pPr>
        <w:spacing w:before="40" w:after="60"/>
        <w:jc w:val="both"/>
      </w:pPr>
      <w:r>
        <w:rPr>
          <w:rFonts w:ascii="Calibri" w:hAnsi="Calibri"/>
          <w:b w:val="0"/>
          <w:sz w:val="21"/>
        </w:rPr>
        <w:t>Clinical evidence summarized from the record.</w:t>
      </w:r>
      <w:r>
        <w:rPr>
          <w:rFonts w:ascii="Calibri" w:hAnsi="Calibri"/>
          <w:sz w:val="21"/>
        </w:rPr>
        <w:t xml:space="preserve"> Admission documentation, cardiology consult, and the 06/19/2025 hospitalist progress note describe decompensated heart failure with preserved ejection fraction on a background of chronic HFpEF with diastolic dysfunction and mildly elevated filling pressures. NT-proBNP 4,820 pg/mL on admission, falling to 1,940 pg/mL on 06/19/2025; admission weight 95 kg against outpatient dry weight 88 kg.</w:t>
      </w:r>
    </w:p>
    <w:p>
      <w:pPr>
        <w:spacing w:before="40" w:after="60"/>
        <w:jc w:val="both"/>
      </w:pPr>
      <w:r>
        <w:rPr>
          <w:rFonts w:ascii="Calibri" w:hAnsi="Calibri"/>
          <w:b w:val="0"/>
          <w:sz w:val="21"/>
        </w:rPr>
        <w:t>Proposed clarification of HFpEF acuity.</w:t>
      </w:r>
      <w:r>
        <w:rPr>
          <w:rFonts w:ascii="Calibri" w:hAnsi="Calibri"/>
          <w:b w:val="0"/>
          <w:sz w:val="21"/>
        </w:rPr>
        <w:t xml:space="preserve"> Please confirm specificity: </w:t>
      </w:r>
      <w:r>
        <w:rPr>
          <w:rFonts w:ascii="Calibri" w:hAnsi="Calibri"/>
          <w:b w:val="0"/>
          <w:sz w:val="21"/>
        </w:rPr>
        <w:t>acute on chronic decompensated heart failure with preserved EF.</w:t>
      </w:r>
    </w:p>
    <w:p>
      <w:pPr>
        <w:spacing w:before="80" w:after="40"/>
      </w:pPr>
      <w:r>
        <w:rPr>
          <w:rFonts w:ascii="Calibri" w:hAnsi="Calibri"/>
          <w:b w:val="0"/>
          <w:sz w:val="21"/>
        </w:rPr>
        <w:t xml:space="preserve">Attending response:   </w:t>
      </w:r>
      <w:r>
        <w:rPr>
          <w:rFonts w:ascii="Calibri" w:hAnsi="Calibri"/>
          <w:sz w:val="21"/>
        </w:rPr>
        <w:t>[ ] Agree     [ ] Disagree     [ ] Clinically undetermined</w:t>
      </w:r>
    </w:p>
    <w:p>
      <w:pPr>
        <w:spacing w:before="80" w:after="0"/>
      </w:pPr>
      <w:r>
        <w:rPr>
          <w:rFonts w:ascii="Calibri" w:hAnsi="Calibri"/>
          <w:b/>
          <w:sz w:val="21"/>
        </w:rPr>
        <w:t>Rationale:</w:t>
      </w:r>
    </w:p>
    <w:p>
      <w:pPr>
        <w:spacing w:before="40" w:after="40"/>
      </w:pPr>
      <w:r>
        <w:rPr>
          <w:rFonts w:ascii="Calibri" w:hAnsi="Calibri"/>
          <w:sz w:val="21"/>
        </w:rPr>
        <w:t>_______________________________________________________________________________________________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sz w:val="21"/>
        </w:rPr>
        <w:t>_______________________________________________________________________________________________</w:t>
      </w:r>
    </w:p>
    <w:p>
      <w:pPr>
        <w:spacing w:before="40" w:after="80"/>
        <w:pBdr>
          <w:bottom w:val="single" w:sz="6" w:space="1" w:color="666666"/>
        </w:pBdr>
      </w:pPr>
    </w:p>
    <w:p>
      <w:pPr>
        <w:spacing w:before="120" w:after="60"/>
      </w:pPr>
      <w:r>
        <w:rPr>
          <w:rFonts w:ascii="Calibri" w:hAnsi="Calibri"/>
          <w:b/>
          <w:sz w:val="23"/>
        </w:rPr>
        <w:t>Instructions to the attending</w:t>
      </w:r>
    </w:p>
    <w:p>
      <w:pPr>
        <w:spacing w:after="80"/>
        <w:jc w:val="both"/>
      </w:pPr>
      <w:r>
        <w:rPr>
          <w:rFonts w:ascii="Calibri" w:hAnsi="Calibri"/>
          <w:sz w:val="21"/>
        </w:rPr>
        <w:t>Each item is independent. Decline any item that is not supported by the clinical picture; supply a one-line rationale referencing the chart. Where you accept a clarification, please enter the diagnostic phrase into the discharge summary or an addendum to the attending note of record so the documentation carries forward consistently.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intent of this query is clarification only. It is not a directive to add diagnoses that are not clinically present. The medical record governs.</w:t>
      </w:r>
    </w:p>
    <w:p>
      <w:pPr>
        <w:spacing w:after="80"/>
        <w:jc w:val="both"/>
      </w:pPr>
      <w:r>
        <w:rPr>
          <w:rFonts w:ascii="Calibri" w:hAnsi="Calibri"/>
          <w:sz w:val="21"/>
        </w:rPr>
        <w:t>Please return this memo to CDI within 48 hours of receipt. If additional source documents would assist your review, contact CDI and the relevant excerpts will be forwarded.</w:t>
      </w:r>
    </w:p>
    <w:p>
      <w:pPr>
        <w:spacing w:before="40" w:after="80"/>
        <w:pBdr>
          <w:bottom w:val="single" w:sz="6" w:space="1" w:color="666666"/>
        </w:pBdr>
      </w:pPr>
    </w:p>
    <w:p>
      <w:pPr>
        <w:spacing w:before="120" w:after="0"/>
      </w:pPr>
      <w:r>
        <w:rPr>
          <w:rFonts w:ascii="Calibri" w:hAnsi="Calibri"/>
          <w:b/>
          <w:i/>
          <w:sz w:val="21"/>
        </w:rPr>
        <w:t>Hollis Bramwell, RN, CCDS</w:t>
      </w:r>
    </w:p>
    <w:p>
      <w:pPr>
        <w:spacing w:after="0"/>
      </w:pPr>
      <w:r>
        <w:rPr>
          <w:rFonts w:ascii="Calibri" w:hAnsi="Calibri"/>
          <w:sz w:val="21"/>
        </w:rPr>
        <w:t>Clinical Documentation Integrity Specialist</w:t>
      </w:r>
    </w:p>
    <w:p>
      <w:pPr>
        <w:spacing w:after="0"/>
      </w:pPr>
      <w:r>
        <w:rPr>
          <w:rFonts w:ascii="Calibri" w:hAnsi="Calibri"/>
          <w:sz w:val="21"/>
        </w:rPr>
        <w:t>Sanctum Regional Medical Center - CDI</w:t>
      </w:r>
    </w:p>
    <w:p>
      <w:pPr>
        <w:spacing w:before="80" w:after="0"/>
      </w:pPr>
      <w:r>
        <w:rPr>
          <w:rFonts w:ascii="Calibri" w:hAnsi="Calibri"/>
          <w:i/>
          <w:sz w:val="19"/>
        </w:rPr>
        <w:t>Query ID: CDIQ-2025-0612    |    Issued: 06/26/2025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