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rPr>
        <w:t>SENTINEL HEALTH PLAN</w:t>
      </w:r>
    </w:p>
    <w:p>
      <w:pPr>
        <w:spacing w:after="40" w:before="0"/>
        <w:jc w:val="center"/>
      </w:pPr>
      <w:r>
        <w:rPr>
          <w:rFonts w:ascii="Times New Roman" w:hAnsi="Times New Roman"/>
          <w:b w:val="0"/>
          <w:i w:val="0"/>
          <w:sz w:val="22"/>
        </w:rPr>
        <w:t>Medicare Advantage - Appeals &amp; Grievances</w:t>
      </w:r>
    </w:p>
    <w:p>
      <w:pPr>
        <w:spacing w:after="40" w:before="0"/>
        <w:jc w:val="center"/>
      </w:pPr>
      <w:r>
        <w:rPr>
          <w:rFonts w:ascii="Times New Roman" w:hAnsi="Times New Roman"/>
          <w:b w:val="0"/>
          <w:i w:val="0"/>
          <w:sz w:val="20"/>
        </w:rPr>
        <w:t>PO Box 4290, Schaumburg, IL 60168</w:t>
      </w:r>
    </w:p>
    <w:p>
      <w:pPr>
        <w:spacing w:after="80" w:before="0"/>
        <w:jc w:val="center"/>
      </w:pPr>
      <w:r>
        <w:rPr>
          <w:rFonts w:ascii="Times New Roman" w:hAnsi="Times New Roman"/>
          <w:b w:val="0"/>
          <w:i w:val="0"/>
          <w:sz w:val="20"/>
        </w:rPr>
        <w:t>Telephone: (800) 555-0277 | Facsimile: (800) 555-0282</w:t>
      </w:r>
    </w:p>
    <w:p>
      <w:pPr>
        <w:pBdr>
          <w:bottom w:val="single" w:sz="6" w:space="1" w:color="000000"/>
        </w:pBdr>
        <w:spacing w:after="120" w:before="40"/>
      </w:pPr>
    </w:p>
    <w:p>
      <w:pPr>
        <w:spacing w:after="200" w:before="40"/>
        <w:jc w:val="center"/>
      </w:pPr>
      <w:r>
        <w:rPr>
          <w:rFonts w:ascii="Times New Roman" w:hAnsi="Times New Roman"/>
          <w:b/>
          <w:i w:val="0"/>
          <w:sz w:val="24"/>
        </w:rPr>
        <w:t>NOTICE OF ORGANIZATION DETERMINATION - ADVERSE</w:t>
      </w:r>
    </w:p>
    <w:p>
      <w:pPr>
        <w:spacing w:after="40" w:before="0"/>
      </w:pPr>
      <w:r>
        <w:rPr>
          <w:rFonts w:ascii="Times New Roman" w:hAnsi="Times New Roman"/>
          <w:b w:val="0"/>
          <w:i w:val="0"/>
          <w:sz w:val="22"/>
        </w:rPr>
        <w:t xml:space="preserve">Reference Number: </w:t>
      </w:r>
      <w:r>
        <w:rPr>
          <w:rFonts w:ascii="Times New Roman" w:hAnsi="Times New Roman"/>
          <w:b w:val="0"/>
          <w:i w:val="0"/>
          <w:sz w:val="22"/>
        </w:rPr>
        <w:t>SHA-DEN-2025-061902</w:t>
      </w:r>
    </w:p>
    <w:p>
      <w:pPr>
        <w:spacing w:after="200" w:before="0"/>
      </w:pPr>
      <w:r>
        <w:rPr>
          <w:rFonts w:ascii="Times New Roman" w:hAnsi="Times New Roman"/>
          <w:b w:val="0"/>
          <w:i w:val="0"/>
          <w:sz w:val="22"/>
        </w:rPr>
        <w:t xml:space="preserve">Date of Notice: </w:t>
      </w:r>
      <w:r>
        <w:rPr>
          <w:rFonts w:ascii="Times New Roman" w:hAnsi="Times New Roman"/>
          <w:b w:val="0"/>
          <w:i w:val="0"/>
          <w:sz w:val="22"/>
        </w:rPr>
        <w:t>June 20, 2025</w:t>
      </w:r>
    </w:p>
    <w:p>
      <w:pPr>
        <w:spacing w:after="40" w:before="0"/>
      </w:pPr>
      <w:r>
        <w:rPr>
          <w:rFonts w:ascii="Times New Roman" w:hAnsi="Times New Roman"/>
          <w:b/>
          <w:i w:val="0"/>
          <w:sz w:val="22"/>
        </w:rPr>
        <w:t>To:</w:t>
      </w:r>
    </w:p>
    <w:p>
      <w:pPr>
        <w:spacing w:after="40" w:before="0"/>
      </w:pPr>
      <w:r>
        <w:rPr>
          <w:rFonts w:ascii="Times New Roman" w:hAnsi="Times New Roman"/>
          <w:b w:val="0"/>
          <w:i w:val="0"/>
          <w:sz w:val="22"/>
        </w:rPr>
        <w:t>Marcus Thorne, MD</w:t>
      </w:r>
    </w:p>
    <w:p>
      <w:pPr>
        <w:spacing w:after="40" w:before="0"/>
      </w:pPr>
      <w:r>
        <w:rPr>
          <w:rFonts w:ascii="Times New Roman" w:hAnsi="Times New Roman"/>
          <w:b w:val="0"/>
          <w:i w:val="0"/>
          <w:sz w:val="22"/>
        </w:rPr>
        <w:t>Hospital Medicine, Attending of Record</w:t>
      </w:r>
    </w:p>
    <w:p>
      <w:pPr>
        <w:spacing w:after="40" w:before="0"/>
      </w:pPr>
      <w:r>
        <w:rPr>
          <w:rFonts w:ascii="Times New Roman" w:hAnsi="Times New Roman"/>
          <w:b w:val="0"/>
          <w:i w:val="0"/>
          <w:sz w:val="22"/>
        </w:rPr>
        <w:t>Sanctum Regional Medical Center</w:t>
      </w:r>
    </w:p>
    <w:p>
      <w:pPr>
        <w:spacing w:after="40" w:before="0"/>
      </w:pPr>
      <w:r>
        <w:rPr>
          <w:rFonts w:ascii="Times New Roman" w:hAnsi="Times New Roman"/>
          <w:b w:val="0"/>
          <w:i w:val="0"/>
          <w:sz w:val="22"/>
        </w:rPr>
        <w:t>1450 Wycliffe Boulevard</w:t>
      </w:r>
    </w:p>
    <w:p>
      <w:pPr>
        <w:spacing w:after="200" w:before="0"/>
      </w:pPr>
      <w:r>
        <w:rPr>
          <w:rFonts w:ascii="Times New Roman" w:hAnsi="Times New Roman"/>
          <w:b w:val="0"/>
          <w:i w:val="0"/>
          <w:sz w:val="22"/>
        </w:rPr>
        <w:t>Cedar Falls, IL 60481</w:t>
      </w:r>
    </w:p>
    <w:p>
      <w:pPr>
        <w:spacing w:after="40" w:before="0"/>
      </w:pPr>
      <w:r>
        <w:rPr>
          <w:rFonts w:ascii="Times New Roman" w:hAnsi="Times New Roman"/>
          <w:b w:val="0"/>
          <w:i w:val="0"/>
          <w:sz w:val="22"/>
        </w:rPr>
        <w:t xml:space="preserve">RE: </w:t>
      </w:r>
      <w:r>
        <w:rPr>
          <w:rFonts w:ascii="Times New Roman" w:hAnsi="Times New Roman"/>
          <w:b w:val="0"/>
          <w:i w:val="0"/>
          <w:sz w:val="22"/>
        </w:rPr>
        <w:t>Marva Lydell</w:t>
      </w:r>
    </w:p>
    <w:p>
      <w:pPr>
        <w:spacing w:after="40" w:before="0"/>
      </w:pPr>
      <w:r>
        <w:rPr>
          <w:rFonts w:ascii="Times New Roman" w:hAnsi="Times New Roman"/>
          <w:b w:val="0"/>
          <w:i w:val="0"/>
          <w:sz w:val="22"/>
        </w:rPr>
        <w:t xml:space="preserve">Date of Birth: </w:t>
      </w:r>
      <w:r>
        <w:rPr>
          <w:rFonts w:ascii="Times New Roman" w:hAnsi="Times New Roman"/>
          <w:b w:val="0"/>
          <w:i w:val="0"/>
          <w:sz w:val="22"/>
        </w:rPr>
        <w:t>April 22, 1953</w:t>
      </w:r>
    </w:p>
    <w:p>
      <w:pPr>
        <w:spacing w:after="40" w:before="0"/>
      </w:pPr>
      <w:r>
        <w:rPr>
          <w:rFonts w:ascii="Times New Roman" w:hAnsi="Times New Roman"/>
          <w:b w:val="0"/>
          <w:i w:val="0"/>
          <w:sz w:val="22"/>
        </w:rPr>
        <w:t xml:space="preserve">Member ID: </w:t>
      </w:r>
      <w:r>
        <w:rPr>
          <w:rFonts w:ascii="Times New Roman" w:hAnsi="Times New Roman"/>
          <w:b w:val="0"/>
          <w:i w:val="0"/>
          <w:sz w:val="22"/>
        </w:rPr>
        <w:t>SHA-44907-12</w:t>
      </w:r>
    </w:p>
    <w:p>
      <w:pPr>
        <w:spacing w:after="40" w:before="0"/>
      </w:pPr>
      <w:r>
        <w:rPr>
          <w:rFonts w:ascii="Times New Roman" w:hAnsi="Times New Roman"/>
          <w:b w:val="0"/>
          <w:i w:val="0"/>
          <w:sz w:val="22"/>
        </w:rPr>
        <w:t xml:space="preserve">Group: </w:t>
      </w:r>
      <w:r>
        <w:rPr>
          <w:rFonts w:ascii="Times New Roman" w:hAnsi="Times New Roman"/>
          <w:b w:val="0"/>
          <w:i w:val="0"/>
          <w:sz w:val="22"/>
        </w:rPr>
        <w:t>MA-IL-2025</w:t>
      </w:r>
    </w:p>
    <w:p>
      <w:pPr>
        <w:spacing w:after="40" w:before="0"/>
      </w:pPr>
      <w:r>
        <w:rPr>
          <w:rFonts w:ascii="Times New Roman" w:hAnsi="Times New Roman"/>
          <w:b w:val="0"/>
          <w:i w:val="0"/>
          <w:sz w:val="22"/>
        </w:rPr>
        <w:t xml:space="preserve">Medicare Beneficiary Identifier: </w:t>
      </w:r>
      <w:r>
        <w:rPr>
          <w:rFonts w:ascii="Times New Roman" w:hAnsi="Times New Roman"/>
          <w:b w:val="0"/>
          <w:i w:val="0"/>
          <w:sz w:val="22"/>
        </w:rPr>
        <w:t>1ML-G24-7782</w:t>
      </w:r>
    </w:p>
    <w:p>
      <w:pPr>
        <w:spacing w:after="200" w:before="0"/>
      </w:pPr>
      <w:r>
        <w:rPr>
          <w:rFonts w:ascii="Times New Roman" w:hAnsi="Times New Roman"/>
          <w:b w:val="0"/>
          <w:i w:val="0"/>
          <w:sz w:val="22"/>
        </w:rPr>
        <w:t xml:space="preserve">Plan: </w:t>
      </w:r>
      <w:r>
        <w:rPr>
          <w:rFonts w:ascii="Times New Roman" w:hAnsi="Times New Roman"/>
          <w:b w:val="0"/>
          <w:i w:val="0"/>
          <w:sz w:val="22"/>
        </w:rPr>
        <w:t>Sentinel Advantage Choice PPO (Medicare Advantage)</w:t>
      </w:r>
    </w:p>
    <w:p>
      <w:pPr>
        <w:spacing w:after="120" w:before="0"/>
      </w:pPr>
      <w:r>
        <w:rPr>
          <w:rFonts w:ascii="Times New Roman" w:hAnsi="Times New Roman"/>
          <w:b w:val="0"/>
          <w:i w:val="0"/>
          <w:sz w:val="22"/>
        </w:rPr>
        <w:t xml:space="preserve">SUBJECT: </w:t>
      </w:r>
      <w:r>
        <w:rPr>
          <w:rFonts w:ascii="Times New Roman" w:hAnsi="Times New Roman"/>
          <w:b w:val="0"/>
          <w:i w:val="0"/>
          <w:sz w:val="22"/>
        </w:rPr>
        <w:t>Denial of supplemental portable oxygen (DME) and skilled nursing facility level of care at Willowmere Skilled Nursing &amp; Rehabilitation</w:t>
      </w:r>
    </w:p>
    <w:p>
      <w:pPr>
        <w:pBdr>
          <w:bottom w:val="single" w:sz="6" w:space="1" w:color="000000"/>
        </w:pBdr>
        <w:spacing w:after="120" w:before="40"/>
      </w:pPr>
    </w:p>
    <w:p>
      <w:pPr>
        <w:spacing w:after="200" w:before="80"/>
      </w:pPr>
      <w:r>
        <w:rPr>
          <w:rFonts w:ascii="Times New Roman" w:hAnsi="Times New Roman"/>
          <w:b w:val="0"/>
          <w:i w:val="0"/>
          <w:sz w:val="22"/>
        </w:rPr>
        <w:t>Dr. Thorne:</w:t>
      </w:r>
    </w:p>
    <w:p>
      <w:pPr>
        <w:spacing w:after="200" w:before="0"/>
        <w:jc w:val="both"/>
      </w:pPr>
      <w:r>
        <w:rPr>
          <w:rFonts w:ascii="Times New Roman" w:hAnsi="Times New Roman"/>
          <w:b w:val="0"/>
          <w:i w:val="0"/>
          <w:sz w:val="22"/>
        </w:rPr>
        <w:t>Sentinel Health Plan has completed organization determination review of the service requests submitted on behalf of the above-named member. The requests reviewed were (1) authorization of supplemental portable oxygen durable medical equipment (portable concentrator and ambulatory cylinders) and (2) authorization of a post-acute skilled nursing facility (SNF) admission at Willowmere Skilled Nursing &amp; Rehabilitation, 55 Willowmere Way, Cedar Falls, IL 60481.</w:t>
      </w:r>
    </w:p>
    <w:p>
      <w:pPr>
        <w:spacing w:after="200" w:before="0"/>
        <w:jc w:val="both"/>
      </w:pPr>
      <w:r>
        <w:rPr>
          <w:rFonts w:ascii="Times New Roman" w:hAnsi="Times New Roman"/>
          <w:b w:val="0"/>
          <w:i w:val="0"/>
          <w:sz w:val="22"/>
        </w:rPr>
        <w:t xml:space="preserve">Determination. </w:t>
      </w:r>
      <w:r>
        <w:rPr>
          <w:rFonts w:ascii="Times New Roman" w:hAnsi="Times New Roman"/>
          <w:b w:val="0"/>
          <w:i w:val="0"/>
          <w:sz w:val="22"/>
        </w:rPr>
        <w:t xml:space="preserve">Based on review of submitted clinical documentation, Sentinel Health Plan has determined that the requested skilled nursing facility level of care at Willowmere Skilled Nursing &amp; Rehabilitation and the supplemental portable oxygen equipment are </w:t>
      </w:r>
      <w:r>
        <w:rPr>
          <w:rFonts w:ascii="Times New Roman" w:hAnsi="Times New Roman"/>
          <w:b w:val="0"/>
          <w:i w:val="0"/>
          <w:sz w:val="22"/>
        </w:rPr>
        <w:t>NOT medically necessary at this time</w:t>
      </w:r>
      <w:r>
        <w:rPr>
          <w:rFonts w:ascii="Times New Roman" w:hAnsi="Times New Roman"/>
          <w:b w:val="0"/>
          <w:i w:val="0"/>
          <w:sz w:val="22"/>
        </w:rPr>
        <w:t>. The member's resting oxygen saturation on low-flow oxygen (94-96% on 2 L NC) and improving volume status (weight down approximately 5 kg from admission; NT-proBNP falling) support transition to home with home health services. Acute decompensation has been adequately treated. Coverage criteria for skilled-level care under Medicare Advantage policy are NOT met based on improving resting vitals and adequate functional baseline.</w:t>
      </w:r>
    </w:p>
    <w:p>
      <w:pPr>
        <w:spacing w:after="200" w:before="0"/>
        <w:jc w:val="both"/>
      </w:pPr>
      <w:r>
        <w:rPr>
          <w:rFonts w:ascii="Times New Roman" w:hAnsi="Times New Roman"/>
          <w:b w:val="0"/>
          <w:i w:val="0"/>
          <w:sz w:val="22"/>
        </w:rPr>
        <w:t xml:space="preserve">Clinical basis cited in the file under review. </w:t>
      </w:r>
      <w:r>
        <w:rPr>
          <w:rFonts w:ascii="Times New Roman" w:hAnsi="Times New Roman"/>
          <w:b w:val="0"/>
          <w:i w:val="0"/>
          <w:sz w:val="22"/>
        </w:rPr>
        <w:t>The chart reflects acceptable resting oxygenation on prescribed low-flow nasal cannula at 2 L/min, with documented resting oxygen saturation in the 94-96% range across the most recent twenty-four hours of observation. Weight has declined from 95 kg at admission to 90 kg at the most recent measurement, with serial NT-proBNP demonstrating a substantial decline from 4,820 pg/mL to 1,940 pg/mL. Renal function is improving toward the member's documented outpatient baseline. The member's pre-admission functional baseline includes ambulation indoors with a single-point cane and established home oxygen at 2 L/min, both of which remain available at the home of record. On this record, the acute event has been adequately treated and the level of care needed to maintain progress is consistent with the home setting supplemented by intermittent home health services. Sentinel Advantage Choice PPO criteria for skilled-level institutional care are accordingly not satisfied, and the supplemental portable oxygen upgrade beyond the member's pre-admission home oxygen regimen does not meet plan coverage criteria for additional DME at this time.</w:t>
      </w:r>
    </w:p>
    <w:p>
      <w:pPr>
        <w:spacing w:after="160" w:before="0"/>
        <w:jc w:val="both"/>
      </w:pPr>
      <w:r>
        <w:rPr>
          <w:rFonts w:ascii="Times New Roman" w:hAnsi="Times New Roman"/>
          <w:b w:val="0"/>
          <w:i w:val="0"/>
          <w:sz w:val="22"/>
        </w:rPr>
        <w:t xml:space="preserve">Effect of this determination. </w:t>
      </w:r>
      <w:r>
        <w:rPr>
          <w:rFonts w:ascii="Times New Roman" w:hAnsi="Times New Roman"/>
          <w:b w:val="0"/>
          <w:i w:val="0"/>
          <w:sz w:val="22"/>
        </w:rPr>
        <w:t>Effective immediately, Sentinel Health Plan will not cover the requested SNF admission at Willowmere Skilled Nursing &amp; Rehabilitation or the requested supplemental portable oxygen equipment under the member's Medicare Advantage benefit. The member's existing home oxygen benefit at 2 L/min is unaffected by this determination.</w:t>
      </w:r>
    </w:p>
    <w:p>
      <w:pPr>
        <w:pBdr>
          <w:bottom w:val="single" w:sz="6" w:space="1" w:color="000000"/>
        </w:pBdr>
        <w:spacing w:after="120" w:before="40"/>
      </w:pPr>
    </w:p>
    <w:p>
      <w:pPr>
        <w:spacing w:after="160" w:before="80"/>
        <w:jc w:val="center"/>
      </w:pPr>
      <w:r>
        <w:rPr>
          <w:rFonts w:ascii="Times New Roman" w:hAnsi="Times New Roman"/>
          <w:b/>
          <w:i w:val="0"/>
          <w:sz w:val="24"/>
        </w:rPr>
        <w:t>APPEAL RIGHTS</w:t>
      </w:r>
    </w:p>
    <w:p>
      <w:pPr>
        <w:spacing w:after="160" w:before="0"/>
        <w:jc w:val="both"/>
      </w:pPr>
      <w:r>
        <w:rPr>
          <w:rFonts w:ascii="Times New Roman" w:hAnsi="Times New Roman"/>
          <w:b w:val="0"/>
          <w:i w:val="0"/>
          <w:sz w:val="22"/>
        </w:rPr>
        <w:t>The member, the member's authorized representative, or the treating physician acting on the member's behalf has the right to appeal this determination.</w:t>
      </w:r>
    </w:p>
    <w:p>
      <w:pPr>
        <w:spacing w:after="160" w:before="0"/>
        <w:jc w:val="both"/>
      </w:pPr>
      <w:r>
        <w:rPr>
          <w:rFonts w:ascii="Times New Roman" w:hAnsi="Times New Roman"/>
          <w:b w:val="0"/>
          <w:i w:val="0"/>
          <w:sz w:val="22"/>
        </w:rPr>
        <w:t xml:space="preserve">Standard appeal. </w:t>
      </w:r>
      <w:r>
        <w:rPr>
          <w:rFonts w:ascii="Times New Roman" w:hAnsi="Times New Roman"/>
          <w:b w:val="0"/>
          <w:i w:val="0"/>
          <w:sz w:val="22"/>
        </w:rPr>
        <w:t xml:space="preserve">A written request for reconsideration must be received by Sentinel Health Plan within </w:t>
      </w:r>
      <w:r>
        <w:rPr>
          <w:rFonts w:ascii="Times New Roman" w:hAnsi="Times New Roman"/>
          <w:b w:val="0"/>
          <w:i w:val="0"/>
          <w:sz w:val="22"/>
        </w:rPr>
        <w:t>sixty (60) calendar days</w:t>
      </w:r>
      <w:r>
        <w:rPr>
          <w:rFonts w:ascii="Times New Roman" w:hAnsi="Times New Roman"/>
          <w:b w:val="0"/>
          <w:i w:val="0"/>
          <w:sz w:val="22"/>
        </w:rPr>
        <w:t xml:space="preserve"> of the date of this notice. Submit to: Sentinel Health Plan, Appeals &amp; Grievances, PO Box 4290, Schaumburg, IL 60168, or by facsimile to (800) 555-0282. A standard reconsideration decision will be issued within thirty (30) calendar days of receipt.</w:t>
      </w:r>
    </w:p>
    <w:p>
      <w:pPr>
        <w:spacing w:after="160" w:before="0"/>
        <w:jc w:val="both"/>
      </w:pPr>
      <w:r>
        <w:rPr>
          <w:rFonts w:ascii="Times New Roman" w:hAnsi="Times New Roman"/>
          <w:b w:val="0"/>
          <w:i w:val="0"/>
          <w:sz w:val="22"/>
        </w:rPr>
        <w:t xml:space="preserve">Expedited appeal. </w:t>
      </w:r>
      <w:r>
        <w:rPr>
          <w:rFonts w:ascii="Times New Roman" w:hAnsi="Times New Roman"/>
          <w:b w:val="0"/>
          <w:i w:val="0"/>
          <w:sz w:val="22"/>
        </w:rPr>
        <w:t>If the treating physician certifies, or the plan determines, that applying the standard timeframe could seriously jeopardize the member's life, health, or ability to regain maximum function, an expedited reconsideration may be requested by telephone at (800) 555-0277 or by facsimile to (800) 555-0282. A decision on an expedited request will be issued within seventy-two (72) hours of receipt. Treating-physician support of the expedited request will be accepted without further verification of urgency.</w:t>
      </w:r>
    </w:p>
    <w:p>
      <w:pPr>
        <w:spacing w:after="160" w:before="0"/>
        <w:jc w:val="both"/>
      </w:pPr>
      <w:r>
        <w:rPr>
          <w:rFonts w:ascii="Times New Roman" w:hAnsi="Times New Roman"/>
          <w:b w:val="0"/>
          <w:i w:val="0"/>
          <w:sz w:val="22"/>
        </w:rPr>
        <w:t xml:space="preserve">Supporting documentation. </w:t>
      </w:r>
      <w:r>
        <w:rPr>
          <w:rFonts w:ascii="Times New Roman" w:hAnsi="Times New Roman"/>
          <w:b w:val="0"/>
          <w:i w:val="0"/>
          <w:sz w:val="22"/>
        </w:rPr>
        <w:t xml:space="preserve">Any additional clinical documentation the requesting party wishes considered on reconsideration should accompany the appeal. Reference number </w:t>
      </w:r>
      <w:r>
        <w:rPr>
          <w:rFonts w:ascii="Times New Roman" w:hAnsi="Times New Roman"/>
          <w:b w:val="0"/>
          <w:i w:val="0"/>
          <w:sz w:val="22"/>
        </w:rPr>
        <w:t>SHA-DEN-2025-061902</w:t>
      </w:r>
      <w:r>
        <w:rPr>
          <w:rFonts w:ascii="Times New Roman" w:hAnsi="Times New Roman"/>
          <w:b w:val="0"/>
          <w:i w:val="0"/>
          <w:sz w:val="22"/>
        </w:rPr>
        <w:t xml:space="preserve"> should appear on all correspondence and submitted records.</w:t>
      </w:r>
    </w:p>
    <w:p>
      <w:pPr>
        <w:spacing w:after="160" w:before="0"/>
        <w:jc w:val="both"/>
      </w:pPr>
      <w:r>
        <w:rPr>
          <w:rFonts w:ascii="Times New Roman" w:hAnsi="Times New Roman"/>
          <w:b w:val="0"/>
          <w:i w:val="0"/>
          <w:sz w:val="22"/>
        </w:rPr>
        <w:t xml:space="preserve">Further levels of review. </w:t>
      </w:r>
      <w:r>
        <w:rPr>
          <w:rFonts w:ascii="Times New Roman" w:hAnsi="Times New Roman"/>
          <w:b w:val="0"/>
          <w:i w:val="0"/>
          <w:sz w:val="22"/>
        </w:rPr>
        <w:t>If reconsideration is unfavorable, the file will be forwarded automatically to the Independent Review Entity contracted with the Centers for Medicare &amp; Medicaid Services. Further levels of administrative review, including Administrative Law Judge hearing, Medicare Appeals Council review, and federal district court review, remain available in accordance with 42 C.F.R. Part 422, Subpart M.</w:t>
      </w:r>
    </w:p>
    <w:p>
      <w:pPr>
        <w:spacing w:after="160" w:before="0"/>
        <w:jc w:val="both"/>
      </w:pPr>
      <w:r>
        <w:rPr>
          <w:rFonts w:ascii="Times New Roman" w:hAnsi="Times New Roman"/>
          <w:b w:val="0"/>
          <w:i w:val="0"/>
          <w:sz w:val="22"/>
        </w:rPr>
        <w:t xml:space="preserve">Member assistance. </w:t>
      </w:r>
      <w:r>
        <w:rPr>
          <w:rFonts w:ascii="Times New Roman" w:hAnsi="Times New Roman"/>
          <w:b w:val="0"/>
          <w:i w:val="0"/>
          <w:sz w:val="22"/>
        </w:rPr>
        <w:t>The member may contact Sentinel Health Plan Member Services at the number on the member identification card, or 1-800-MEDICARE, for additional information regarding appeal rights.</w:t>
      </w:r>
    </w:p>
    <w:p>
      <w:pPr>
        <w:pBdr>
          <w:bottom w:val="single" w:sz="6" w:space="1" w:color="000000"/>
        </w:pBdr>
        <w:spacing w:after="120" w:before="40"/>
      </w:pPr>
    </w:p>
    <w:p>
      <w:pPr>
        <w:spacing w:after="160" w:before="120"/>
      </w:pPr>
      <w:r>
        <w:rPr>
          <w:rFonts w:ascii="Times New Roman" w:hAnsi="Times New Roman"/>
          <w:b w:val="0"/>
          <w:i w:val="0"/>
          <w:sz w:val="22"/>
        </w:rPr>
        <w:t>Sincerely,</w:t>
      </w:r>
    </w:p>
    <w:p>
      <w:pPr>
        <w:spacing w:after="280" w:before="0"/>
      </w:pPr>
      <w:r>
        <w:rPr>
          <w:rFonts w:ascii="Times New Roman" w:hAnsi="Times New Roman"/>
          <w:b w:val="0"/>
          <w:i/>
          <w:sz w:val="22"/>
        </w:rPr>
        <w:t>Electronically signed</w:t>
      </w:r>
    </w:p>
    <w:p>
      <w:pPr>
        <w:spacing w:after="40" w:before="0"/>
      </w:pPr>
      <w:r>
        <w:rPr>
          <w:rFonts w:ascii="Times New Roman" w:hAnsi="Times New Roman"/>
          <w:b/>
          <w:i w:val="0"/>
          <w:sz w:val="22"/>
        </w:rPr>
        <w:t>Sterling Ovid, MD</w:t>
      </w:r>
    </w:p>
    <w:p>
      <w:pPr>
        <w:spacing w:after="40" w:before="0"/>
      </w:pPr>
      <w:r>
        <w:rPr>
          <w:rFonts w:ascii="Times New Roman" w:hAnsi="Times New Roman"/>
          <w:b w:val="0"/>
          <w:i w:val="0"/>
          <w:sz w:val="22"/>
        </w:rPr>
        <w:t>Medical Director, Medicare Advantage</w:t>
      </w:r>
    </w:p>
    <w:p>
      <w:pPr>
        <w:spacing w:after="240" w:before="0"/>
      </w:pPr>
      <w:r>
        <w:rPr>
          <w:rFonts w:ascii="Times New Roman" w:hAnsi="Times New Roman"/>
          <w:b w:val="0"/>
          <w:i w:val="0"/>
          <w:sz w:val="22"/>
        </w:rPr>
        <w:t>Sentinel Health Plan</w:t>
      </w:r>
    </w:p>
    <w:p>
      <w:pPr>
        <w:spacing w:after="40" w:before="0"/>
      </w:pPr>
      <w:r>
        <w:rPr>
          <w:rFonts w:ascii="Times New Roman" w:hAnsi="Times New Roman"/>
          <w:b w:val="0"/>
          <w:i w:val="0"/>
          <w:sz w:val="22"/>
        </w:rPr>
        <w:t>cc: Member of record (Marva Lydell, 3617 Linden Court, Cedar Falls, IL 60481)</w:t>
      </w:r>
    </w:p>
    <w:p>
      <w:pPr>
        <w:spacing w:after="40" w:before="0"/>
      </w:pPr>
      <w:r>
        <w:rPr>
          <w:rFonts w:ascii="Times New Roman" w:hAnsi="Times New Roman"/>
          <w:b w:val="0"/>
          <w:i w:val="0"/>
          <w:sz w:val="22"/>
        </w:rPr>
        <w:t xml:space="preserve">    Utilization Management, Sanctum Regional Medical Center</w:t>
      </w:r>
    </w:p>
    <w:p>
      <w:pPr>
        <w:spacing w:after="40" w:before="0"/>
      </w:pPr>
      <w:r>
        <w:rPr>
          <w:rFonts w:ascii="Times New Roman" w:hAnsi="Times New Roman"/>
          <w:b w:val="0"/>
          <w:i w:val="0"/>
          <w:sz w:val="22"/>
        </w:rPr>
        <w:t xml:space="preserve">    Willowmere Skilled Nursing &amp; Rehabilitation - Intake</w:t>
      </w:r>
    </w:p>
    <w:p>
      <w:pPr>
        <w:spacing w:after="280" w:before="0"/>
      </w:pPr>
      <w:r>
        <w:rPr>
          <w:rFonts w:ascii="Times New Roman" w:hAnsi="Times New Roman"/>
          <w:b w:val="0"/>
          <w:i w:val="0"/>
          <w:sz w:val="22"/>
        </w:rPr>
        <w:t xml:space="preserve">    Sentinel Health Plan claim file SHA-DEN-2025-061902</w:t>
      </w:r>
    </w:p>
    <w:p>
      <w:pPr>
        <w:spacing w:after="40" w:before="0"/>
        <w:jc w:val="center"/>
      </w:pPr>
      <w:r>
        <w:rPr>
          <w:rFonts w:ascii="Times New Roman" w:hAnsi="Times New Roman"/>
          <w:b w:val="0"/>
          <w:i/>
          <w:sz w:val="20"/>
        </w:rPr>
        <w:t>This notice constitutes the plan's organization determination under 42 C.F.R. Section  422.566. Retain for the member's records.</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