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urier New" w:hAnsi="Courier New"/>
          <w:b/>
          <w:i w:val="0"/>
          <w:sz w:val="24"/>
        </w:rPr>
        <w:t>TRANSITION / DISCHARGE SUMMARY NOTE</w:t>
      </w:r>
    </w:p>
    <w:p>
      <w:pPr>
        <w:spacing w:after="0"/>
      </w:pPr>
      <w:r>
        <w:rPr>
          <w:rFonts w:ascii="Courier New" w:hAnsi="Courier New"/>
          <w:b w:val="0"/>
          <w:i w:val="0"/>
          <w:sz w:val="20"/>
        </w:rPr>
        <w:t>Sanctum Regional Medical Center - Hospital Medicine</w:t>
      </w:r>
    </w:p>
    <w:p>
      <w:pPr>
        <w:spacing w:after="120"/>
      </w:pPr>
      <w:r>
        <w:rPr>
          <w:rFonts w:ascii="Courier New" w:hAnsi="Courier New"/>
          <w:b w:val="0"/>
          <w:i w:val="0"/>
          <w:sz w:val="20"/>
        </w:rPr>
        <w:t>1450 Wycliffe Boulevard, Cedar Falls, IL 60481</w:t>
      </w:r>
    </w:p>
    <w:p>
      <w:pPr>
        <w:spacing w:after="0"/>
      </w:pPr>
      <w:r>
        <w:rPr>
          <w:rFonts w:ascii="Courier New" w:hAnsi="Courier New"/>
          <w:b w:val="0"/>
          <w:i w:val="0"/>
          <w:sz w:val="20"/>
        </w:rPr>
        <w:t xml:space="preserve">Patient:                 </w:t>
      </w:r>
      <w:r>
        <w:rPr>
          <w:rFonts w:ascii="Courier New" w:hAnsi="Courier New"/>
          <w:b w:val="0"/>
          <w:i w:val="0"/>
          <w:sz w:val="20"/>
        </w:rPr>
        <w:t>Marva Lydell</w:t>
      </w:r>
    </w:p>
    <w:p>
      <w:pPr>
        <w:spacing w:after="0"/>
      </w:pPr>
      <w:r>
        <w:rPr>
          <w:rFonts w:ascii="Courier New" w:hAnsi="Courier New"/>
          <w:b w:val="0"/>
          <w:i w:val="0"/>
          <w:sz w:val="20"/>
        </w:rPr>
        <w:t xml:space="preserve">MRN:                     </w:t>
      </w:r>
      <w:r>
        <w:rPr>
          <w:rFonts w:ascii="Courier New" w:hAnsi="Courier New"/>
          <w:b w:val="0"/>
          <w:i w:val="0"/>
          <w:sz w:val="20"/>
        </w:rPr>
        <w:t>ML-7782304</w:t>
      </w:r>
    </w:p>
    <w:p>
      <w:pPr>
        <w:spacing w:after="0"/>
      </w:pPr>
      <w:r>
        <w:rPr>
          <w:rFonts w:ascii="Courier New" w:hAnsi="Courier New"/>
          <w:b w:val="0"/>
          <w:i w:val="0"/>
          <w:sz w:val="20"/>
        </w:rPr>
        <w:t xml:space="preserve">Encounter (CSN):         </w:t>
      </w:r>
      <w:r>
        <w:rPr>
          <w:rFonts w:ascii="Courier New" w:hAnsi="Courier New"/>
          <w:b w:val="0"/>
          <w:i w:val="0"/>
          <w:sz w:val="20"/>
        </w:rPr>
        <w:t>ENC-20250613-7782304</w:t>
      </w:r>
    </w:p>
    <w:p>
      <w:pPr>
        <w:spacing w:after="0"/>
      </w:pPr>
      <w:r>
        <w:rPr>
          <w:rFonts w:ascii="Courier New" w:hAnsi="Courier New"/>
          <w:b w:val="0"/>
          <w:i w:val="0"/>
          <w:sz w:val="20"/>
        </w:rPr>
        <w:t xml:space="preserve">DOB:                     </w:t>
      </w:r>
      <w:r>
        <w:rPr>
          <w:rFonts w:ascii="Courier New" w:hAnsi="Courier New"/>
          <w:b w:val="0"/>
          <w:i w:val="0"/>
          <w:sz w:val="20"/>
        </w:rPr>
        <w:t>04/22/1953 (age 72)</w:t>
      </w:r>
    </w:p>
    <w:p>
      <w:pPr>
        <w:spacing w:after="0"/>
      </w:pPr>
      <w:r>
        <w:rPr>
          <w:rFonts w:ascii="Courier New" w:hAnsi="Courier New"/>
          <w:b w:val="0"/>
          <w:i w:val="0"/>
          <w:sz w:val="20"/>
        </w:rPr>
        <w:t xml:space="preserve">Admission date:          </w:t>
      </w:r>
      <w:r>
        <w:rPr>
          <w:rFonts w:ascii="Courier New" w:hAnsi="Courier New"/>
          <w:b w:val="0"/>
          <w:i w:val="0"/>
          <w:sz w:val="20"/>
        </w:rPr>
        <w:t>06/13/2025</w:t>
      </w:r>
    </w:p>
    <w:p>
      <w:pPr>
        <w:spacing w:after="0"/>
      </w:pPr>
      <w:r>
        <w:rPr>
          <w:rFonts w:ascii="Courier New" w:hAnsi="Courier New"/>
          <w:b w:val="0"/>
          <w:i w:val="0"/>
          <w:sz w:val="20"/>
        </w:rPr>
        <w:t xml:space="preserve">Planned discharge date:  </w:t>
      </w:r>
      <w:r>
        <w:rPr>
          <w:rFonts w:ascii="Courier New" w:hAnsi="Courier New"/>
          <w:b w:val="0"/>
          <w:i w:val="0"/>
          <w:sz w:val="20"/>
        </w:rPr>
        <w:t>06/22/2025</w:t>
      </w:r>
    </w:p>
    <w:p>
      <w:pPr>
        <w:spacing w:after="0"/>
      </w:pPr>
      <w:r>
        <w:rPr>
          <w:rFonts w:ascii="Courier New" w:hAnsi="Courier New"/>
          <w:b w:val="0"/>
          <w:i w:val="0"/>
          <w:sz w:val="20"/>
        </w:rPr>
        <w:t xml:space="preserve">Unit / Room:             </w:t>
      </w:r>
      <w:r>
        <w:rPr>
          <w:rFonts w:ascii="Courier New" w:hAnsi="Courier New"/>
          <w:b w:val="0"/>
          <w:i w:val="0"/>
          <w:sz w:val="20"/>
        </w:rPr>
        <w:t>4 West Med-Surg / Room 4W-218</w:t>
      </w:r>
    </w:p>
    <w:p>
      <w:pPr>
        <w:spacing w:after="0"/>
      </w:pPr>
      <w:r>
        <w:rPr>
          <w:rFonts w:ascii="Courier New" w:hAnsi="Courier New"/>
          <w:b w:val="0"/>
          <w:i w:val="0"/>
          <w:sz w:val="20"/>
        </w:rPr>
        <w:t xml:space="preserve">Attending of record:     </w:t>
      </w:r>
      <w:r>
        <w:rPr>
          <w:rFonts w:ascii="Courier New" w:hAnsi="Courier New"/>
          <w:b w:val="0"/>
          <w:i w:val="0"/>
          <w:sz w:val="20"/>
        </w:rPr>
        <w:t>Marcus Thorne, MD - Hospital Medicine</w:t>
      </w:r>
    </w:p>
    <w:p>
      <w:pPr>
        <w:spacing w:after="0"/>
      </w:pPr>
      <w:r>
        <w:rPr>
          <w:rFonts w:ascii="Courier New" w:hAnsi="Courier New"/>
          <w:b w:val="0"/>
          <w:i w:val="0"/>
          <w:sz w:val="20"/>
        </w:rPr>
        <w:t xml:space="preserve">Author:                  </w:t>
      </w:r>
      <w:r>
        <w:rPr>
          <w:rFonts w:ascii="Courier New" w:hAnsi="Courier New"/>
          <w:b w:val="0"/>
          <w:i w:val="0"/>
          <w:sz w:val="20"/>
        </w:rPr>
        <w:t>Aileen Costa, MD - Hospital Medicine resident, PGY-2</w:t>
      </w:r>
    </w:p>
    <w:p>
      <w:pPr>
        <w:spacing w:after="0"/>
      </w:pPr>
      <w:r>
        <w:rPr>
          <w:rFonts w:ascii="Courier New" w:hAnsi="Courier New"/>
          <w:b w:val="0"/>
          <w:i w:val="0"/>
          <w:sz w:val="20"/>
        </w:rPr>
        <w:t xml:space="preserve">Note type:               </w:t>
      </w:r>
      <w:r>
        <w:rPr>
          <w:rFonts w:ascii="Courier New" w:hAnsi="Courier New"/>
          <w:b w:val="0"/>
          <w:i w:val="0"/>
          <w:sz w:val="20"/>
        </w:rPr>
        <w:t>Transition / Discharge Summary (resident-authored)</w:t>
      </w:r>
    </w:p>
    <w:p>
      <w:pPr>
        <w:spacing w:after="0"/>
      </w:pPr>
      <w:r>
        <w:rPr>
          <w:rFonts w:ascii="Courier New" w:hAnsi="Courier New"/>
          <w:b w:val="0"/>
          <w:i w:val="0"/>
          <w:sz w:val="20"/>
        </w:rPr>
        <w:t xml:space="preserve">Date / time of note:     </w:t>
      </w:r>
      <w:r>
        <w:rPr>
          <w:rFonts w:ascii="Courier New" w:hAnsi="Courier New"/>
          <w:b w:val="0"/>
          <w:i w:val="0"/>
          <w:sz w:val="20"/>
        </w:rPr>
        <w:t>06/21/2025 14:20</w:t>
      </w:r>
    </w:p>
    <w:p>
      <w:pPr>
        <w:spacing w:after="0"/>
      </w:pPr>
      <w:r>
        <w:rPr>
          <w:rFonts w:ascii="Courier New" w:hAnsi="Courier New"/>
          <w:b w:val="0"/>
          <w:i w:val="0"/>
          <w:sz w:val="20"/>
        </w:rPr>
        <w:t xml:space="preserve">Allergies:               </w:t>
      </w:r>
      <w:r>
        <w:rPr>
          <w:rFonts w:ascii="Courier New" w:hAnsi="Courier New"/>
          <w:b w:val="0"/>
          <w:i w:val="0"/>
          <w:sz w:val="20"/>
        </w:rPr>
        <w:t>Lisinopril / ACE inhibitor class - angioedema, severe</w:t>
      </w:r>
    </w:p>
    <w:p>
      <w:pPr>
        <w:spacing w:after="80"/>
      </w:pPr>
    </w:p>
    <w:p>
      <w:pPr>
        <w:spacing w:after="120"/>
      </w:pPr>
      <w:r>
        <w:rPr>
          <w:rFonts w:ascii="Courier New" w:hAnsi="Courier New"/>
          <w:sz w:val="20"/>
        </w:rPr>
        <w:t>--------------------------------------------------------------------------------------</w:t>
      </w:r>
    </w:p>
    <w:p>
      <w:pPr>
        <w:spacing w:after="80"/>
      </w:pPr>
      <w:r>
        <w:rPr>
          <w:rFonts w:ascii="Courier New" w:hAnsi="Courier New"/>
          <w:b/>
          <w:i w:val="0"/>
          <w:sz w:val="20"/>
        </w:rPr>
        <w:t>1. HOSPITAL COURSE</w:t>
      </w:r>
    </w:p>
    <w:p>
      <w:pPr>
        <w:spacing w:after="120"/>
      </w:pPr>
      <w:r>
        <w:rPr>
          <w:rFonts w:ascii="Courier New" w:hAnsi="Courier New"/>
          <w:sz w:val="20"/>
        </w:rPr>
        <w:t>Mrs. Lydell is a 72-year-old woman with HFpEF, atrial fibrillation on apixaban, CKD stage 3b-4, COPD, obstructive sleep apnea on home CPAP, and type 2 diabetes who presented to the emergency department on 06/13/2025 with several days of progressive dyspnea on exertion, two-pillow orthopnea, and lower-extremity edema, with admission weight 7 kg over outpatient dry weight, resting SpO2 88% on room air, and admission creatinine 2.6 mg/dL on a baseline of 1.7.</w:t>
      </w:r>
    </w:p>
    <w:p>
      <w:pPr>
        <w:spacing w:after="120"/>
      </w:pPr>
      <w:r>
        <w:rPr>
          <w:rFonts w:ascii="Courier New" w:hAnsi="Courier New"/>
          <w:sz w:val="20"/>
        </w:rPr>
        <w:t>She was admitted to Hospital Medicine for acute decompensated HFpEF on cardiorenal physiology and started on intravenous loop diuresis with low-flow supplemental oxygen and continued home CPAP overnight. Cardiology (Dr. Varma) was consulted on 06/14 and an inpatient transthoracic echocardiogram confirmed preserved ejection fraction at 60% with diastolic dysfunction and mildly elevated filling pressures, consistent with a volume-predominant HFpEF decompensation rather than ischemic event; troponin negative. Nephrology (Dr. Lund) was consulted on 06/15 for AKI on CKD; oral cardiorenal and diabetes agents were held on admission for safety pending renal recovery, and inpatient pharmacy (Anand, PharmD) reviewed anticoagulation against current renal function on 06/15, confirming apixaban 5 mg BID as appropriate single-agent therapy. Pulmonology (Dr. Quayle) consulted on 06/16 for the COPD overlay and signed off after a respiratory therapy oxygen titration with six-minute walk test was completed by Reynel, RRT, on 06/17.</w:t>
      </w:r>
    </w:p>
    <w:p>
      <w:pPr>
        <w:spacing w:after="120"/>
      </w:pPr>
      <w:r>
        <w:rPr>
          <w:rFonts w:ascii="Courier New" w:hAnsi="Courier New"/>
          <w:sz w:val="20"/>
        </w:rPr>
        <w:t>She transitioned from IV to oral torsemide and continued to decongest steadily across hospital days 4 through 7. By the 06/19 evening snapshot her weight was down approximately 5 kg from admission to 90 kg, creatinine had improved to 1.9 mg/dL, potassium was 4.4 mEq/L, and NT-proBNP had fallen from 4,820 to 1,940 pg/mL. Physical examination showed JVD of 5 cm, nearly clear lungs, and only trace pitting edema. Physical therapy (Pryce, DPT) and occupational therapy (Olom, OT) followed throughout the stay for conditioning, ADLs, and energy conservation. Case management (Carrow, RN, CCM) coordinated post-acute services and equipment. Heart-failure self-management education was completed with the patient and her daughter Tanielle at the bedside on 06/19, and the Medicare discharge-rights notice was issued the same day.</w:t>
      </w:r>
    </w:p>
    <w:p>
      <w:pPr>
        <w:spacing w:after="80"/>
      </w:pPr>
      <w:r>
        <w:rPr>
          <w:rFonts w:ascii="Courier New" w:hAnsi="Courier New"/>
          <w:b/>
          <w:i w:val="0"/>
          <w:sz w:val="20"/>
        </w:rPr>
        <w:t>2. DISCHARGE DIAGNOSES</w:t>
      </w:r>
    </w:p>
    <w:p>
      <w:pPr>
        <w:spacing w:after="40"/>
      </w:pPr>
      <w:r>
        <w:rPr>
          <w:rFonts w:ascii="Courier New" w:hAnsi="Courier New"/>
          <w:b w:val="0"/>
          <w:i w:val="0"/>
          <w:sz w:val="20"/>
        </w:rPr>
        <w:t>1. Acute decompensated heart failure with preserved ejection fraction (HFpEF), resolved with diuresis</w:t>
      </w:r>
    </w:p>
    <w:p>
      <w:pPr>
        <w:spacing w:after="40"/>
      </w:pPr>
      <w:r>
        <w:rPr>
          <w:rFonts w:ascii="Courier New" w:hAnsi="Courier New"/>
          <w:b w:val="0"/>
          <w:i w:val="0"/>
          <w:sz w:val="20"/>
        </w:rPr>
        <w:t>2. Acute kidney injury on chronic kidney disease stage 3b-4, resolving toward baseline</w:t>
      </w:r>
    </w:p>
    <w:p>
      <w:pPr>
        <w:spacing w:after="40"/>
      </w:pPr>
      <w:r>
        <w:rPr>
          <w:rFonts w:ascii="Courier New" w:hAnsi="Courier New"/>
          <w:b w:val="0"/>
          <w:i w:val="0"/>
          <w:sz w:val="20"/>
        </w:rPr>
        <w:t>3. Chronic hypoxemia, stable on baseline home oxygen</w:t>
      </w:r>
    </w:p>
    <w:p>
      <w:pPr>
        <w:spacing w:after="40"/>
      </w:pPr>
      <w:r>
        <w:rPr>
          <w:rFonts w:ascii="Courier New" w:hAnsi="Courier New"/>
          <w:b w:val="0"/>
          <w:i w:val="0"/>
          <w:sz w:val="20"/>
        </w:rPr>
        <w:t>4. Atrial fibrillation, rate-controlled, on chronic oral anticoagulation</w:t>
      </w:r>
    </w:p>
    <w:p>
      <w:pPr>
        <w:spacing w:after="40"/>
      </w:pPr>
      <w:r>
        <w:rPr>
          <w:rFonts w:ascii="Courier New" w:hAnsi="Courier New"/>
          <w:b w:val="0"/>
          <w:i w:val="0"/>
          <w:sz w:val="20"/>
        </w:rPr>
        <w:t>5. Coronary artery disease, stable, status post historical PCI</w:t>
      </w:r>
    </w:p>
    <w:p>
      <w:pPr>
        <w:spacing w:after="40"/>
      </w:pPr>
      <w:r>
        <w:rPr>
          <w:rFonts w:ascii="Courier New" w:hAnsi="Courier New"/>
          <w:b w:val="0"/>
          <w:i w:val="0"/>
          <w:sz w:val="20"/>
        </w:rPr>
        <w:t>6. Chronic obstructive pulmonary disease</w:t>
      </w:r>
    </w:p>
    <w:p>
      <w:pPr>
        <w:spacing w:after="40"/>
      </w:pPr>
      <w:r>
        <w:rPr>
          <w:rFonts w:ascii="Courier New" w:hAnsi="Courier New"/>
          <w:b w:val="0"/>
          <w:i w:val="0"/>
          <w:sz w:val="20"/>
        </w:rPr>
        <w:t>7. Obstructive sleep apnea on home CPAP</w:t>
      </w:r>
    </w:p>
    <w:p>
      <w:pPr>
        <w:spacing w:after="40"/>
      </w:pPr>
      <w:r>
        <w:rPr>
          <w:rFonts w:ascii="Courier New" w:hAnsi="Courier New"/>
          <w:b w:val="0"/>
          <w:i w:val="0"/>
          <w:sz w:val="20"/>
        </w:rPr>
        <w:t>8. Type 2 diabetes mellitus with peripheral neuropathy</w:t>
      </w:r>
    </w:p>
    <w:p>
      <w:pPr>
        <w:spacing w:after="40"/>
      </w:pPr>
      <w:r>
        <w:rPr>
          <w:rFonts w:ascii="Courier New" w:hAnsi="Courier New"/>
          <w:b w:val="0"/>
          <w:i w:val="0"/>
          <w:sz w:val="20"/>
        </w:rPr>
        <w:t>9. Anemia of chronic kidney disease</w:t>
      </w:r>
    </w:p>
    <w:p>
      <w:pPr>
        <w:spacing w:after="80"/>
      </w:pPr>
    </w:p>
    <w:p>
      <w:pPr>
        <w:spacing w:after="80"/>
      </w:pPr>
      <w:r>
        <w:rPr>
          <w:rFonts w:ascii="Courier New" w:hAnsi="Courier New"/>
          <w:b/>
          <w:i w:val="0"/>
          <w:sz w:val="20"/>
        </w:rPr>
        <w:t>3. DISPOSITION</w:t>
      </w:r>
    </w:p>
    <w:p>
      <w:pPr>
        <w:spacing w:after="160"/>
      </w:pPr>
      <w:r>
        <w:rPr>
          <w:rFonts w:ascii="Courier New" w:hAnsi="Courier New"/>
          <w:b w:val="0"/>
          <w:i w:val="0"/>
          <w:sz w:val="20"/>
        </w:rPr>
        <w:t>Home with home health.</w:t>
      </w:r>
    </w:p>
    <w:p>
      <w:pPr>
        <w:spacing w:after="80"/>
      </w:pPr>
      <w:r>
        <w:rPr>
          <w:rFonts w:ascii="Courier New" w:hAnsi="Courier New"/>
          <w:b/>
          <w:i w:val="0"/>
          <w:sz w:val="20"/>
        </w:rPr>
        <w:t>4. FUNCTIONAL STATUS AT DISCHARGE</w:t>
      </w:r>
    </w:p>
    <w:p>
      <w:pPr>
        <w:spacing w:after="160"/>
      </w:pPr>
      <w:r>
        <w:rPr>
          <w:rFonts w:ascii="Courier New" w:hAnsi="Courier New"/>
          <w:b w:val="0"/>
          <w:i w:val="0"/>
          <w:sz w:val="20"/>
        </w:rPr>
        <w:t>Improving; ambulating with cane. Tolerates short distances on the unit with single-point cane and rest pauses as needed. Patient and daughter educated on pacing and energy conservation per OT.</w:t>
      </w:r>
    </w:p>
    <w:p>
      <w:pPr>
        <w:spacing w:after="80"/>
      </w:pPr>
      <w:r>
        <w:rPr>
          <w:rFonts w:ascii="Courier New" w:hAnsi="Courier New"/>
          <w:b/>
          <w:i w:val="0"/>
          <w:sz w:val="20"/>
        </w:rPr>
        <w:t>5. OXYGEN PLAN</w:t>
      </w:r>
    </w:p>
    <w:p>
      <w:pPr>
        <w:spacing w:after="160"/>
      </w:pPr>
      <w:r>
        <w:rPr>
          <w:rFonts w:ascii="Courier New" w:hAnsi="Courier New"/>
          <w:b w:val="0"/>
          <w:i w:val="0"/>
          <w:sz w:val="20"/>
        </w:rPr>
        <w:t>Patient cleared for home oxygen at baseline 2 L/min nasal cannula nocturnal/exertional. No supplemental portable oxygen indicated beyond home baseline. Continue home CPAP nightly for obstructive sleep apnea per existing prescription.</w:t>
      </w:r>
    </w:p>
    <w:p>
      <w:pPr>
        <w:spacing w:after="80"/>
      </w:pPr>
      <w:r>
        <w:rPr>
          <w:rFonts w:ascii="Courier New" w:hAnsi="Courier New"/>
          <w:b/>
          <w:i w:val="0"/>
          <w:sz w:val="20"/>
        </w:rPr>
        <w:t>6. DISCHARGE MEDICATION RECONCILIATION</w:t>
      </w:r>
    </w:p>
    <w:tbl>
      <w:tblPr>
        <w:tblW w:type="auto" w:w="0"/>
        <w:tblLayout w:type="fixed"/>
        <w:tblLook w:firstColumn="1" w:firstRow="1" w:lastColumn="0" w:lastRow="0" w:noHBand="0" w:noVBand="1" w:val="04A0"/>
      </w:tblPr>
      <w:tblGrid>
        <w:gridCol w:w="2484"/>
        <w:gridCol w:w="2484"/>
        <w:gridCol w:w="2484"/>
        <w:gridCol w:w="2484"/>
      </w:tblGrid>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b w:val="0"/>
                <w:sz w:val="18"/>
              </w:rPr>
              <w:t>#</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b w:val="0"/>
                <w:sz w:val="18"/>
              </w:rPr>
              <w:t>Medication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b w:val="0"/>
                <w:sz w:val="18"/>
              </w:rPr>
              <w:t>Dose / Route / Frequency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b w:val="0"/>
                <w:sz w:val="18"/>
              </w:rPr>
              <w:t>Status</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Torsemide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20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2</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Metoprolol succinate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100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3</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Apixaban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5 mg PO BID</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 (single agent)</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4</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Aspirin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81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5</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Atorvastatin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40 mg PO nightly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6</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Empagliflozin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10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RESUME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7</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Spironolactone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25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RESUME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8</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Losartan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50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RESUME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9</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Metformin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1000 mg PO BID</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RESUME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10</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Insulin glargine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24 units subcutaneous nightly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11</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Insulin aspart sliding scale with meals</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per inpatient scale</w:t>
            </w:r>
          </w:p>
        </w:tc>
        <w:tc>
          <w:tcPr>
            <w:tcW w:type="dxa" w:w="2448"/>
            <w:tcBorders>
              <w:top w:val="single" w:sz="4" w:color="000000"/>
              <w:left w:val="single" w:sz="4" w:color="000000"/>
              <w:bottom w:val="single" w:sz="4" w:color="000000"/>
              <w:right w:val="single" w:sz="4" w:color="000000"/>
            </w:tcBorders>
          </w:tcPr>
          <w:p>
            <w:pPr>
              <w:spacing w:after="0"/>
            </w:pPr>
            <w:r>
              <w:t>continue at home regimen - per inpatient sliding scale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12</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Tiotropium 18 mcg HandiHaler</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inhaled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13</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Albuterol 90 mcg MDI</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inhaled PRN</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14</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Gabapentin</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300 mg PO TID</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15</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Ferrous sulfate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325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16</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Cholecalciferol</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2000 units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17</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Levothyroxine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75 mcg PO daily, AM fasting</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18</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Pantoprazole</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40 mg PO daily</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r>
        <w:tc>
          <w:tcPr>
            <w:tcW w:type="dxa" w:w="504"/>
            <w:tcBorders>
              <w:top w:val="single" w:sz="4" w:color="000000"/>
              <w:left w:val="single" w:sz="4" w:color="000000"/>
              <w:bottom w:val="single" w:sz="4" w:color="000000"/>
              <w:right w:val="single" w:sz="4" w:color="000000"/>
            </w:tcBorders>
          </w:tcPr>
          <w:p>
            <w:pPr>
              <w:spacing w:after="0"/>
            </w:pPr>
            <w:r/>
            <w:r>
              <w:rPr>
                <w:rFonts w:ascii="Courier New" w:hAnsi="Courier New"/>
                <w:sz w:val="18"/>
              </w:rPr>
              <w:t>19</w:t>
            </w:r>
          </w:p>
        </w:tc>
        <w:tc>
          <w:tcPr>
            <w:tcW w:type="dxa" w:w="3744"/>
            <w:tcBorders>
              <w:top w:val="single" w:sz="4" w:color="000000"/>
              <w:left w:val="single" w:sz="4" w:color="000000"/>
              <w:bottom w:val="single" w:sz="4" w:color="000000"/>
              <w:right w:val="single" w:sz="4" w:color="000000"/>
            </w:tcBorders>
          </w:tcPr>
          <w:p>
            <w:pPr>
              <w:spacing w:after="0"/>
            </w:pPr>
            <w:r/>
            <w:r>
              <w:rPr>
                <w:rFonts w:ascii="Courier New" w:hAnsi="Courier New"/>
                <w:sz w:val="18"/>
              </w:rPr>
              <w:t>Senna</w:t>
            </w:r>
          </w:p>
        </w:tc>
        <w:tc>
          <w:tcPr>
            <w:tcW w:type="dxa" w:w="3456"/>
            <w:tcBorders>
              <w:top w:val="single" w:sz="4" w:color="000000"/>
              <w:left w:val="single" w:sz="4" w:color="000000"/>
              <w:bottom w:val="single" w:sz="4" w:color="000000"/>
              <w:right w:val="single" w:sz="4" w:color="000000"/>
            </w:tcBorders>
          </w:tcPr>
          <w:p>
            <w:pPr>
              <w:spacing w:after="0"/>
            </w:pPr>
            <w:r/>
            <w:r>
              <w:rPr>
                <w:rFonts w:ascii="Courier New" w:hAnsi="Courier New"/>
                <w:sz w:val="18"/>
              </w:rPr>
              <w:t>8.6 mg PO nightly PRN</w:t>
            </w:r>
          </w:p>
        </w:tc>
        <w:tc>
          <w:tcPr>
            <w:tcW w:type="dxa" w:w="2448"/>
            <w:tcBorders>
              <w:top w:val="single" w:sz="4" w:color="000000"/>
              <w:left w:val="single" w:sz="4" w:color="000000"/>
              <w:bottom w:val="single" w:sz="4" w:color="000000"/>
              <w:right w:val="single" w:sz="4" w:color="000000"/>
            </w:tcBorders>
          </w:tcPr>
          <w:p>
            <w:pPr>
              <w:spacing w:after="0"/>
            </w:pPr>
            <w:r/>
            <w:r>
              <w:rPr>
                <w:rFonts w:ascii="Courier New" w:hAnsi="Courier New"/>
                <w:sz w:val="18"/>
              </w:rPr>
              <w:t>CONTINUE</w:t>
            </w:r>
          </w:p>
        </w:tc>
      </w:tr>
    </w:tbl>
    <w:p>
      <w:pPr>
        <w:spacing w:after="80"/>
      </w:pPr>
    </w:p>
    <w:p>
      <w:pPr>
        <w:spacing w:after="160"/>
      </w:pPr>
      <w:r>
        <w:rPr>
          <w:rFonts w:ascii="Courier New" w:hAnsi="Courier New"/>
          <w:b w:val="0"/>
          <w:i w:val="0"/>
          <w:sz w:val="20"/>
        </w:rPr>
        <w:t>Anticoagulation: apixaban 5 mg BID single agent; aspirin 81 mg daily is the only co-antiplatelet.</w:t>
      </w:r>
    </w:p>
    <w:p>
      <w:pPr>
        <w:spacing w:after="80"/>
      </w:pPr>
      <w:r>
        <w:rPr>
          <w:rFonts w:ascii="Courier New" w:hAnsi="Courier New"/>
          <w:b/>
          <w:i w:val="0"/>
          <w:sz w:val="20"/>
        </w:rPr>
        <w:t>7. FOLLOW-UP</w:t>
      </w:r>
    </w:p>
    <w:p>
      <w:pPr>
        <w:spacing w:after="60"/>
        <w:ind w:left="360" w:hanging="360"/>
      </w:pPr>
      <w:r>
        <w:rPr>
          <w:rFonts w:ascii="Courier New" w:hAnsi="Courier New"/>
          <w:sz w:val="20"/>
        </w:rPr>
        <w:t xml:space="preserve">- </w:t>
      </w:r>
      <w:r>
        <w:rPr>
          <w:rFonts w:ascii="Courier New" w:hAnsi="Courier New"/>
          <w:b w:val="0"/>
          <w:sz w:val="20"/>
        </w:rPr>
        <w:t>Cardiology</w:t>
      </w:r>
      <w:r>
        <w:rPr>
          <w:rFonts w:ascii="Courier New" w:hAnsi="Courier New"/>
          <w:sz w:val="20"/>
        </w:rPr>
        <w:t xml:space="preserve"> - Dr. Sunil Varma, Cedar Falls Cardiology Associates. Appointment within 2 weeks of discharge for HFpEF management, volume reassessment, and daily-weight review.</w:t>
      </w:r>
    </w:p>
    <w:p>
      <w:pPr>
        <w:spacing w:after="60"/>
        <w:ind w:left="360" w:hanging="360"/>
      </w:pPr>
      <w:r>
        <w:rPr>
          <w:rFonts w:ascii="Courier New" w:hAnsi="Courier New"/>
          <w:sz w:val="20"/>
        </w:rPr>
        <w:t xml:space="preserve">- </w:t>
      </w:r>
      <w:r>
        <w:rPr>
          <w:rFonts w:ascii="Courier New" w:hAnsi="Courier New"/>
          <w:b w:val="0"/>
          <w:sz w:val="20"/>
        </w:rPr>
        <w:t>Primary care</w:t>
      </w:r>
      <w:r>
        <w:rPr>
          <w:rFonts w:ascii="Courier New" w:hAnsi="Courier New"/>
          <w:sz w:val="20"/>
        </w:rPr>
        <w:t xml:space="preserve"> - Dr. Helena Briarwood, Cedar Falls Internal Medicine Associates, (217) 555-0233. Appointment within 1 week of discharge for post-hospital check-in, medication review, and BP/weight reassessment.</w:t>
      </w:r>
    </w:p>
    <w:p>
      <w:pPr>
        <w:spacing w:after="60"/>
        <w:ind w:left="360" w:hanging="360"/>
      </w:pPr>
      <w:r>
        <w:rPr>
          <w:rFonts w:ascii="Courier New" w:hAnsi="Courier New"/>
          <w:sz w:val="20"/>
        </w:rPr>
        <w:t xml:space="preserve">- </w:t>
      </w:r>
      <w:r>
        <w:rPr>
          <w:rFonts w:ascii="Courier New" w:hAnsi="Courier New"/>
          <w:b w:val="0"/>
          <w:sz w:val="20"/>
        </w:rPr>
        <w:t>Nephrology</w:t>
      </w:r>
      <w:r>
        <w:rPr>
          <w:rFonts w:ascii="Courier New" w:hAnsi="Courier New"/>
          <w:sz w:val="20"/>
        </w:rPr>
        <w:t xml:space="preserve"> - Dr. Beatrix Lund, Riverbend Nephrology Group. Appointment in 2-3 weeks for repeat BMP and continued cardiorenal follow-up.</w:t>
      </w:r>
    </w:p>
    <w:p>
      <w:pPr>
        <w:spacing w:after="160"/>
        <w:ind w:left="360" w:hanging="360"/>
      </w:pPr>
      <w:r>
        <w:rPr>
          <w:rFonts w:ascii="Courier New" w:hAnsi="Courier New"/>
          <w:sz w:val="20"/>
        </w:rPr>
        <w:t>- Home health agency to initiate skilled nursing visits per case management referral; daily weight log to be reviewed at primary care visit.</w:t>
      </w:r>
    </w:p>
    <w:p>
      <w:pPr>
        <w:spacing w:after="80"/>
      </w:pPr>
      <w:r>
        <w:rPr>
          <w:rFonts w:ascii="Courier New" w:hAnsi="Courier New"/>
          <w:b/>
          <w:i w:val="0"/>
          <w:sz w:val="20"/>
        </w:rPr>
        <w:t>8. PATIENT EDUCATION</w:t>
      </w:r>
    </w:p>
    <w:p>
      <w:pPr>
        <w:spacing w:after="200"/>
      </w:pPr>
      <w:r>
        <w:rPr>
          <w:rFonts w:ascii="Courier New" w:hAnsi="Courier New"/>
          <w:b w:val="0"/>
          <w:i w:val="0"/>
          <w:sz w:val="20"/>
        </w:rPr>
        <w:t>Heart-failure self-management education completed at the bedside with the patient and her daughter on 06/19/2025, including daily weight monitoring, sodium and fluid restriction (2 g sodium / 1.5 L fluid), recognition of decompensation symptoms (weight gain &gt;2 lb overnight or &gt;5 lb in a week, increasing dyspnea or orthopnea, increasing edema), and when to call the cardiology office or return to the emergency department. CPAP adherence and home oxygen use reviewed. Medication list reviewed with the patient. Discharge instructions printed and given to the patient and daughter; teach-back on the heart-failure handout completed. Medicare discharge-rights notice acknowledged.</w:t>
      </w:r>
    </w:p>
    <w:p>
      <w:pPr>
        <w:spacing w:after="120"/>
      </w:pPr>
      <w:r>
        <w:rPr>
          <w:rFonts w:ascii="Courier New" w:hAnsi="Courier New"/>
          <w:sz w:val="20"/>
        </w:rPr>
        <w:t>--------------------------------------------------------------------------------------</w:t>
      </w:r>
    </w:p>
    <w:p>
      <w:pPr>
        <w:spacing w:after="80"/>
      </w:pPr>
      <w:r>
        <w:rPr>
          <w:rFonts w:ascii="Courier New" w:hAnsi="Courier New"/>
          <w:b w:val="0"/>
          <w:i/>
          <w:sz w:val="20"/>
        </w:rPr>
        <w:t>Electronically signed:</w:t>
      </w:r>
    </w:p>
    <w:p>
      <w:pPr>
        <w:spacing w:after="0"/>
      </w:pPr>
      <w:r>
        <w:rPr>
          <w:rFonts w:ascii="Courier New" w:hAnsi="Courier New"/>
          <w:b/>
          <w:i w:val="0"/>
          <w:sz w:val="20"/>
        </w:rPr>
        <w:t>Aileen Costa, MD, PGY-2</w:t>
      </w:r>
    </w:p>
    <w:p>
      <w:pPr>
        <w:spacing w:after="0"/>
      </w:pPr>
      <w:r>
        <w:rPr>
          <w:rFonts w:ascii="Courier New" w:hAnsi="Courier New"/>
          <w:b w:val="0"/>
          <w:i w:val="0"/>
          <w:sz w:val="20"/>
        </w:rPr>
        <w:t>Hospital Medicine - Sanctum Regional Medical Center</w:t>
      </w:r>
    </w:p>
    <w:p>
      <w:pPr>
        <w:spacing w:after="0"/>
      </w:pPr>
      <w:r>
        <w:rPr>
          <w:rFonts w:ascii="Courier New" w:hAnsi="Courier New"/>
          <w:b w:val="0"/>
          <w:i w:val="0"/>
          <w:sz w:val="20"/>
        </w:rPr>
        <w:t>NPI 1934002671</w:t>
      </w:r>
    </w:p>
    <w:p>
      <w:pPr>
        <w:spacing w:after="160"/>
      </w:pPr>
      <w:r>
        <w:rPr>
          <w:rFonts w:ascii="Courier New" w:hAnsi="Courier New"/>
          <w:b w:val="0"/>
          <w:i w:val="0"/>
          <w:sz w:val="20"/>
        </w:rPr>
        <w:t>Date / time of signature: 06/21/2025 14:20</w:t>
      </w:r>
    </w:p>
    <w:p>
      <w:pPr>
        <w:spacing w:after="0"/>
      </w:pPr>
      <w:r>
        <w:rPr>
          <w:rFonts w:ascii="Courier New" w:hAnsi="Courier New"/>
          <w:b w:val="0"/>
          <w:i/>
          <w:sz w:val="20"/>
        </w:rPr>
        <w:t>Co-signed by: Marcus Thorne, MD - Hospitalist Attending, NPI 1750284619 | Date/Time: 06/21/2025 17:42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