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SENTINEL HEALTH PLAN</w:t>
      </w:r>
    </w:p>
    <w:p>
      <w:pPr>
        <w:spacing w:before="0" w:after="40"/>
        <w:jc w:val="center"/>
      </w:pPr>
      <w:r>
        <w:rPr>
          <w:rFonts w:ascii="Times New Roman" w:hAnsi="Times New Roman"/>
          <w:b w:val="0"/>
          <w:i w:val="0"/>
          <w:sz w:val="22"/>
        </w:rPr>
        <w:t>Medicare Advantage - Appeals &amp; Grievances</w:t>
      </w:r>
    </w:p>
    <w:p>
      <w:pPr>
        <w:spacing w:before="0" w:after="40"/>
        <w:jc w:val="center"/>
      </w:pPr>
      <w:r>
        <w:rPr>
          <w:rFonts w:ascii="Times New Roman" w:hAnsi="Times New Roman"/>
          <w:b w:val="0"/>
          <w:i w:val="0"/>
          <w:sz w:val="20"/>
        </w:rPr>
        <w:t>PO Box 4290, Schaumburg, IL 60168</w:t>
      </w:r>
    </w:p>
    <w:p>
      <w:pPr>
        <w:spacing w:before="0" w:after="120"/>
        <w:jc w:val="center"/>
        <w:pBdr>
          <w:bottom w:val="single" w:sz="8" w:space="1" w:color="000000"/>
        </w:pBdr>
      </w:pPr>
      <w:r>
        <w:rPr>
          <w:rFonts w:ascii="Times New Roman" w:hAnsi="Times New Roman"/>
          <w:b w:val="0"/>
          <w:i w:val="0"/>
          <w:sz w:val="20"/>
        </w:rPr>
        <w:t>Telephone: (800) 555-0277  |  Facsimile: (800) 555-0282</w:t>
      </w:r>
    </w:p>
    <w:p>
      <w:pPr>
        <w:spacing w:before="200" w:after="200"/>
        <w:jc w:val="center"/>
      </w:pPr>
      <w:r>
        <w:rPr>
          <w:rFonts w:ascii="Times New Roman" w:hAnsi="Times New Roman"/>
          <w:b/>
          <w:i w:val="0"/>
          <w:sz w:val="24"/>
        </w:rPr>
        <w:t>NOTICE OF RECONSIDERATION DETERMINATION - ADVERSE</w:t>
      </w:r>
    </w:p>
    <w:p>
      <w:pPr>
        <w:spacing w:before="0" w:after="40"/>
      </w:pPr>
      <w:r>
        <w:rPr>
          <w:rFonts w:ascii="Times New Roman" w:hAnsi="Times New Roman"/>
          <w:b w:val="0"/>
          <w:i w:val="0"/>
          <w:sz w:val="22"/>
        </w:rPr>
        <w:t xml:space="preserve">Reference Number: </w:t>
      </w:r>
      <w:r>
        <w:rPr>
          <w:rFonts w:ascii="Times New Roman" w:hAnsi="Times New Roman"/>
          <w:b w:val="0"/>
          <w:i w:val="0"/>
          <w:sz w:val="22"/>
        </w:rPr>
        <w:t>SHA-DEN-2025-062303</w:t>
      </w:r>
    </w:p>
    <w:p>
      <w:pPr>
        <w:spacing w:before="0" w:after="40"/>
      </w:pPr>
      <w:r>
        <w:rPr>
          <w:rFonts w:ascii="Times New Roman" w:hAnsi="Times New Roman"/>
          <w:b w:val="0"/>
          <w:i w:val="0"/>
          <w:sz w:val="22"/>
        </w:rPr>
        <w:t xml:space="preserve">Prior Determination Referenced: </w:t>
      </w:r>
      <w:r>
        <w:rPr>
          <w:rFonts w:ascii="Times New Roman" w:hAnsi="Times New Roman"/>
          <w:b w:val="0"/>
          <w:i w:val="0"/>
          <w:sz w:val="22"/>
        </w:rPr>
        <w:t>SHA-DEN-2025-061902 (June 20, 2025)</w:t>
      </w:r>
    </w:p>
    <w:p>
      <w:pPr>
        <w:spacing w:before="0" w:after="200"/>
      </w:pPr>
      <w:r>
        <w:rPr>
          <w:rFonts w:ascii="Times New Roman" w:hAnsi="Times New Roman"/>
          <w:b w:val="0"/>
          <w:i w:val="0"/>
          <w:sz w:val="22"/>
        </w:rPr>
        <w:t xml:space="preserve">Date of Notice: </w:t>
      </w:r>
      <w:r>
        <w:rPr>
          <w:rFonts w:ascii="Times New Roman" w:hAnsi="Times New Roman"/>
          <w:b w:val="0"/>
          <w:i w:val="0"/>
          <w:sz w:val="22"/>
        </w:rPr>
        <w:t>June 24, 2025</w:t>
      </w:r>
    </w:p>
    <w:p>
      <w:pPr>
        <w:spacing w:before="0" w:after="40"/>
      </w:pPr>
      <w:r>
        <w:rPr>
          <w:rFonts w:ascii="Times New Roman" w:hAnsi="Times New Roman"/>
          <w:b/>
          <w:i w:val="0"/>
          <w:sz w:val="22"/>
        </w:rPr>
        <w:t>To:</w:t>
      </w:r>
    </w:p>
    <w:p>
      <w:pPr>
        <w:spacing w:before="0" w:after="40"/>
      </w:pPr>
      <w:r>
        <w:rPr>
          <w:rFonts w:ascii="Times New Roman" w:hAnsi="Times New Roman"/>
          <w:b w:val="0"/>
          <w:i w:val="0"/>
          <w:sz w:val="22"/>
        </w:rPr>
        <w:t>Marcus Thorne, MD</w:t>
      </w:r>
    </w:p>
    <w:p>
      <w:pPr>
        <w:spacing w:before="0" w:after="40"/>
      </w:pPr>
      <w:r>
        <w:rPr>
          <w:rFonts w:ascii="Times New Roman" w:hAnsi="Times New Roman"/>
          <w:b w:val="0"/>
          <w:i w:val="0"/>
          <w:sz w:val="22"/>
        </w:rPr>
        <w:t>Hospital Medicine, Attending of Record</w:t>
      </w:r>
    </w:p>
    <w:p>
      <w:pPr>
        <w:spacing w:before="0" w:after="40"/>
      </w:pPr>
      <w:r>
        <w:rPr>
          <w:rFonts w:ascii="Times New Roman" w:hAnsi="Times New Roman"/>
          <w:b w:val="0"/>
          <w:i w:val="0"/>
          <w:sz w:val="22"/>
        </w:rPr>
        <w:t>Utilization Management</w:t>
      </w:r>
    </w:p>
    <w:p>
      <w:pPr>
        <w:spacing w:before="0" w:after="40"/>
      </w:pPr>
      <w:r>
        <w:rPr>
          <w:rFonts w:ascii="Times New Roman" w:hAnsi="Times New Roman"/>
          <w:b w:val="0"/>
          <w:i w:val="0"/>
          <w:sz w:val="22"/>
        </w:rPr>
        <w:t>Sanctum Regional Medical Center</w:t>
      </w:r>
    </w:p>
    <w:p>
      <w:pPr>
        <w:spacing w:before="0" w:after="40"/>
      </w:pPr>
      <w:r>
        <w:rPr>
          <w:rFonts w:ascii="Times New Roman" w:hAnsi="Times New Roman"/>
          <w:b w:val="0"/>
          <w:i w:val="0"/>
          <w:sz w:val="22"/>
        </w:rPr>
        <w:t>1450 Wycliffe Boulevard</w:t>
      </w:r>
    </w:p>
    <w:p>
      <w:pPr>
        <w:spacing w:before="0" w:after="200"/>
      </w:pPr>
      <w:r>
        <w:rPr>
          <w:rFonts w:ascii="Times New Roman" w:hAnsi="Times New Roman"/>
          <w:b w:val="0"/>
          <w:i w:val="0"/>
          <w:sz w:val="22"/>
        </w:rPr>
        <w:t>Cedar Falls, IL 60481</w:t>
      </w:r>
    </w:p>
    <w:p>
      <w:pPr>
        <w:spacing w:before="0" w:after="40"/>
      </w:pPr>
      <w:r>
        <w:rPr>
          <w:rFonts w:ascii="Times New Roman" w:hAnsi="Times New Roman"/>
          <w:b w:val="0"/>
          <w:i w:val="0"/>
          <w:sz w:val="22"/>
        </w:rPr>
        <w:t xml:space="preserve">RE: </w:t>
      </w:r>
      <w:r>
        <w:rPr>
          <w:rFonts w:ascii="Times New Roman" w:hAnsi="Times New Roman"/>
          <w:b w:val="0"/>
          <w:i w:val="0"/>
          <w:sz w:val="22"/>
        </w:rPr>
        <w:t>Marva Lydell</w:t>
      </w:r>
    </w:p>
    <w:p>
      <w:pPr>
        <w:spacing w:before="0" w:after="40"/>
      </w:pPr>
      <w:r>
        <w:rPr>
          <w:rFonts w:ascii="Times New Roman" w:hAnsi="Times New Roman"/>
          <w:b w:val="0"/>
          <w:i w:val="0"/>
          <w:sz w:val="22"/>
        </w:rPr>
        <w:t xml:space="preserve">Date of Birth: </w:t>
      </w:r>
      <w:r>
        <w:rPr>
          <w:rFonts w:ascii="Times New Roman" w:hAnsi="Times New Roman"/>
          <w:b w:val="0"/>
          <w:i w:val="0"/>
          <w:sz w:val="22"/>
        </w:rPr>
        <w:t>April 22, 1953</w:t>
      </w:r>
    </w:p>
    <w:p>
      <w:pPr>
        <w:spacing w:before="0" w:after="40"/>
      </w:pPr>
      <w:r>
        <w:rPr>
          <w:rFonts w:ascii="Times New Roman" w:hAnsi="Times New Roman"/>
          <w:b w:val="0"/>
          <w:i w:val="0"/>
          <w:sz w:val="22"/>
        </w:rPr>
        <w:t xml:space="preserve">Member ID: </w:t>
      </w:r>
      <w:r>
        <w:rPr>
          <w:rFonts w:ascii="Times New Roman" w:hAnsi="Times New Roman"/>
          <w:b w:val="0"/>
          <w:i w:val="0"/>
          <w:sz w:val="22"/>
        </w:rPr>
        <w:t>SHA-44907-12</w:t>
      </w:r>
    </w:p>
    <w:p>
      <w:pPr>
        <w:spacing w:before="0" w:after="40"/>
      </w:pPr>
      <w:r>
        <w:rPr>
          <w:rFonts w:ascii="Times New Roman" w:hAnsi="Times New Roman"/>
          <w:b w:val="0"/>
          <w:i w:val="0"/>
          <w:sz w:val="22"/>
        </w:rPr>
        <w:t xml:space="preserve">Group: </w:t>
      </w:r>
      <w:r>
        <w:rPr>
          <w:rFonts w:ascii="Times New Roman" w:hAnsi="Times New Roman"/>
          <w:b w:val="0"/>
          <w:i w:val="0"/>
          <w:sz w:val="22"/>
        </w:rPr>
        <w:t>MA-IL-2025</w:t>
      </w:r>
    </w:p>
    <w:p>
      <w:pPr>
        <w:spacing w:before="0" w:after="40"/>
      </w:pPr>
      <w:r>
        <w:rPr>
          <w:rFonts w:ascii="Times New Roman" w:hAnsi="Times New Roman"/>
          <w:b w:val="0"/>
          <w:i w:val="0"/>
          <w:sz w:val="22"/>
        </w:rPr>
        <w:t xml:space="preserve">Medicare Beneficiary Identifier: </w:t>
      </w:r>
      <w:r>
        <w:rPr>
          <w:rFonts w:ascii="Times New Roman" w:hAnsi="Times New Roman"/>
          <w:b w:val="0"/>
          <w:i w:val="0"/>
          <w:sz w:val="22"/>
        </w:rPr>
        <w:t>1ML-G24-7782</w:t>
      </w:r>
    </w:p>
    <w:p>
      <w:pPr>
        <w:spacing w:before="0" w:after="200"/>
      </w:pPr>
      <w:r>
        <w:rPr>
          <w:rFonts w:ascii="Times New Roman" w:hAnsi="Times New Roman"/>
          <w:b w:val="0"/>
          <w:i w:val="0"/>
          <w:sz w:val="22"/>
        </w:rPr>
        <w:t xml:space="preserve">Plan: </w:t>
      </w:r>
      <w:r>
        <w:rPr>
          <w:rFonts w:ascii="Times New Roman" w:hAnsi="Times New Roman"/>
          <w:b w:val="0"/>
          <w:i w:val="0"/>
          <w:sz w:val="22"/>
        </w:rPr>
        <w:t>Sentinel Advantage Choice PPO (Medicare Advantage)</w:t>
      </w:r>
    </w:p>
    <w:p>
      <w:pPr>
        <w:spacing w:before="0" w:after="200"/>
      </w:pPr>
      <w:r>
        <w:rPr>
          <w:rFonts w:ascii="Times New Roman" w:hAnsi="Times New Roman"/>
          <w:b w:val="0"/>
          <w:i w:val="0"/>
          <w:sz w:val="22"/>
        </w:rPr>
        <w:t xml:space="preserve">SUBJECT: </w:t>
      </w:r>
      <w:r>
        <w:rPr>
          <w:rFonts w:ascii="Times New Roman" w:hAnsi="Times New Roman"/>
          <w:b w:val="0"/>
          <w:i w:val="0"/>
          <w:sz w:val="22"/>
        </w:rPr>
        <w:t>Determination on continued SNF placement appeal - Home Health is sufficient</w:t>
      </w:r>
    </w:p>
    <w:p>
      <w:pPr>
        <w:spacing w:before="0" w:after="160"/>
      </w:pPr>
      <w:r>
        <w:rPr>
          <w:rFonts w:ascii="Times New Roman" w:hAnsi="Times New Roman"/>
          <w:b w:val="0"/>
          <w:i w:val="0"/>
          <w:sz w:val="22"/>
        </w:rPr>
        <w:t>Dr. Thorne:</w:t>
      </w:r>
    </w:p>
    <w:p>
      <w:pPr>
        <w:spacing w:before="0" w:after="160"/>
      </w:pPr>
      <w:r>
        <w:rPr>
          <w:rFonts w:ascii="Times New Roman" w:hAnsi="Times New Roman"/>
          <w:b w:val="0"/>
          <w:i w:val="0"/>
          <w:sz w:val="22"/>
        </w:rPr>
        <w:t>Sentinel Health Plan has completed reconsideration review of the additional materials submitted on behalf of the above-named member in support of continued skilled nursing facility (SNF) level of care at Willowmere Skilled Nursing &amp; Rehabilitation. The reconsideration file includes the submitted appeal correspondence, supplemental progress documentation, family communication notation, rehabilitation evaluations, and case management screening notes received by the plan since the original determination of June 20, 2025.</w:t>
      </w:r>
    </w:p>
    <w:p>
      <w:pPr>
        <w:spacing w:before="0" w:after="160"/>
      </w:pPr>
      <w:r>
        <w:rPr>
          <w:rFonts w:ascii="Times New Roman" w:hAnsi="Times New Roman"/>
          <w:b w:val="0"/>
          <w:i w:val="0"/>
          <w:sz w:val="22"/>
        </w:rPr>
        <w:t xml:space="preserve">Determination. </w:t>
      </w:r>
      <w:r>
        <w:rPr>
          <w:rFonts w:ascii="Times New Roman" w:hAnsi="Times New Roman"/>
          <w:b w:val="0"/>
          <w:i w:val="0"/>
          <w:sz w:val="22"/>
        </w:rPr>
        <w:t>After review of additional materials submitted for member Lydell, Sentinel Health Plan maintains that the appropriate post-acute level of care is home with skilled home health services. Stated family support (daughter willing to assist) and improving clinical parameters (decongested, ambulating with cane, resting SpO2 acceptable on home oxygen) do not support skilled nursing facility level of care. Home health services including skilled RN, PT, and OT visits over a 30-day episode are approved.</w:t>
      </w:r>
    </w:p>
    <w:p>
      <w:pPr>
        <w:spacing w:before="0" w:after="160"/>
      </w:pPr>
      <w:r>
        <w:rPr>
          <w:rFonts w:ascii="Times New Roman" w:hAnsi="Times New Roman"/>
          <w:b w:val="0"/>
          <w:i w:val="0"/>
          <w:sz w:val="22"/>
        </w:rPr>
        <w:t xml:space="preserve">Clinical basis on reconsideration. </w:t>
      </w:r>
      <w:r>
        <w:rPr>
          <w:rFonts w:ascii="Times New Roman" w:hAnsi="Times New Roman"/>
          <w:b w:val="0"/>
          <w:i w:val="0"/>
          <w:sz w:val="22"/>
        </w:rPr>
        <w:t>The reconsideration record reflects that the member is decongested following diuresis, with documented weight reduction from 95 kg at admission to 90 kg, and serial NT-proBNP trending from 4,820 pg/mL to 1,940 pg/mL. Renal function continues to improve toward the documented outpatient baseline. The member ambulates indoors with a single-point cane consistent with her pre-admission functional level. Resting oxygen saturation on the member's established low-flow nasal cannula at 2 L/min remains within an acceptable range. The submitted family communication note records that the member's adult daughter resides locally and has expressed willingness to assist the member upon transition to home. Taken together, these elements describe a member who is medically improving and whose home environment provides identified lay support. Coverage criteria for institutional skilled nursing facility level of care under Sentinel Advantage Choice PPO criteria are not satisfied on this record. Home health services are an appropriate and less restrictive level of care for the remaining post-acute needs identified in the file.</w:t>
      </w:r>
    </w:p>
    <w:p>
      <w:pPr>
        <w:spacing w:before="0" w:after="160"/>
      </w:pPr>
      <w:r>
        <w:rPr>
          <w:rFonts w:ascii="Times New Roman" w:hAnsi="Times New Roman"/>
          <w:b w:val="0"/>
          <w:i w:val="0"/>
          <w:sz w:val="22"/>
        </w:rPr>
        <w:t xml:space="preserve">Authorized services. </w:t>
      </w:r>
      <w:r>
        <w:rPr>
          <w:rFonts w:ascii="Times New Roman" w:hAnsi="Times New Roman"/>
          <w:b w:val="0"/>
          <w:i w:val="0"/>
          <w:sz w:val="22"/>
        </w:rPr>
        <w:t>Sentinel Health Plan approves a home health episode of up to thirty (30) calendar days commencing on the date of discharge, to include skilled registered nurse assessment and teaching visits, physical therapy visits, and occupational therapy visits, at frequencies established by the receiving home health agency consistent with the member's plan of care. The member's existing home oxygen benefit at 2 L/min nasal cannula remains in effect and is unaffected by this determination.</w:t>
      </w:r>
    </w:p>
    <w:p>
      <w:pPr>
        <w:spacing w:before="0" w:after="200"/>
      </w:pPr>
      <w:r>
        <w:rPr>
          <w:rFonts w:ascii="Times New Roman" w:hAnsi="Times New Roman"/>
          <w:b w:val="0"/>
          <w:i w:val="0"/>
          <w:sz w:val="22"/>
        </w:rPr>
        <w:t xml:space="preserve">Effect of this determination. </w:t>
      </w:r>
      <w:r>
        <w:rPr>
          <w:rFonts w:ascii="Times New Roman" w:hAnsi="Times New Roman"/>
          <w:b w:val="0"/>
          <w:i w:val="0"/>
          <w:sz w:val="22"/>
        </w:rPr>
        <w:t>Effective immediately, Sentinel Health Plan will not authorize SNF admission at Willowmere Skilled Nursing &amp; Rehabilitation or any equivalent institutional skilled nursing level of care under the member's Medicare Advantage benefit for the post-acute episode arising from the current admission. Authorization for home health services as set forth above is concurrently issued.</w:t>
      </w:r>
    </w:p>
    <w:p>
      <w:pPr>
        <w:spacing w:before="80" w:after="120"/>
      </w:pPr>
      <w:r>
        <w:rPr>
          <w:rFonts w:ascii="Times New Roman" w:hAnsi="Times New Roman"/>
          <w:b/>
          <w:i w:val="0"/>
          <w:sz w:val="24"/>
        </w:rPr>
        <w:t>APPEAL RIGHTS</w:t>
      </w:r>
    </w:p>
    <w:p>
      <w:pPr>
        <w:spacing w:before="0" w:after="160"/>
      </w:pPr>
      <w:r>
        <w:rPr>
          <w:rFonts w:ascii="Times New Roman" w:hAnsi="Times New Roman"/>
          <w:b w:val="0"/>
          <w:i w:val="0"/>
          <w:sz w:val="22"/>
        </w:rPr>
        <w:t>The member, the member's authorized representative, or the treating physician acting on the member's behalf retains the right to further appeal this reconsideration determination. The plan has reviewed and considered the additional materials submitted, and the determination above represents the plan's reconsidered decision.</w:t>
      </w:r>
    </w:p>
    <w:p>
      <w:pPr>
        <w:spacing w:before="0" w:after="160"/>
      </w:pPr>
      <w:r>
        <w:rPr>
          <w:rFonts w:ascii="Times New Roman" w:hAnsi="Times New Roman"/>
          <w:b w:val="0"/>
          <w:i w:val="0"/>
          <w:sz w:val="22"/>
        </w:rPr>
        <w:t xml:space="preserve">Automatic forwarding to Independent Review Entity. </w:t>
      </w:r>
      <w:r>
        <w:rPr>
          <w:rFonts w:ascii="Times New Roman" w:hAnsi="Times New Roman"/>
          <w:b w:val="0"/>
          <w:i w:val="0"/>
          <w:sz w:val="22"/>
        </w:rPr>
        <w:t xml:space="preserve">Because this reconsideration determination is adverse to the member in whole, the case file will be forwarded automatically to the Independent Review Entity contracted with the Centers for Medicare &amp; Medicaid Services for external review, in accordance with 42 C.F.R. Section  422.590. No further action by the member or treating physician is required to initiate that external review; however, any additional documentation the requesting party wishes the Independent Review Entity to consider should be submitted promptly to Sentinel Health Plan at the address above, referencing </w:t>
      </w:r>
      <w:r>
        <w:rPr>
          <w:rFonts w:ascii="Times New Roman" w:hAnsi="Times New Roman"/>
          <w:b w:val="0"/>
          <w:i w:val="0"/>
          <w:sz w:val="22"/>
        </w:rPr>
        <w:t>SHA-DEN-2025-062303</w:t>
      </w:r>
      <w:r>
        <w:rPr>
          <w:rFonts w:ascii="Times New Roman" w:hAnsi="Times New Roman"/>
          <w:b w:val="0"/>
          <w:i w:val="0"/>
          <w:sz w:val="22"/>
        </w:rPr>
        <w:t>, for inclusion in the forwarded file.</w:t>
      </w:r>
    </w:p>
    <w:p>
      <w:pPr>
        <w:spacing w:before="0" w:after="160"/>
      </w:pPr>
      <w:r>
        <w:rPr>
          <w:rFonts w:ascii="Times New Roman" w:hAnsi="Times New Roman"/>
          <w:b w:val="0"/>
          <w:i w:val="0"/>
          <w:sz w:val="22"/>
        </w:rPr>
        <w:t xml:space="preserve">Expedited external review. </w:t>
      </w:r>
      <w:r>
        <w:rPr>
          <w:rFonts w:ascii="Times New Roman" w:hAnsi="Times New Roman"/>
          <w:b w:val="0"/>
          <w:i w:val="0"/>
          <w:sz w:val="22"/>
        </w:rPr>
        <w:t>If the treating physician certifies that the standard external review timeframe could seriously jeopardize the member's life, health, or ability to regain maximum function, an expedited external review may be requested by telephone at (800) 555-0277 or by facsimile to (800) 555-0282. A decision on an expedited request will be issued by the Independent Review Entity within seventy-two (72) hours of receipt of the forwarded file. Treating-physician certification of urgency will be accepted without further verification.</w:t>
      </w:r>
    </w:p>
    <w:p>
      <w:pPr>
        <w:spacing w:before="0" w:after="160"/>
      </w:pPr>
      <w:r>
        <w:rPr>
          <w:rFonts w:ascii="Times New Roman" w:hAnsi="Times New Roman"/>
          <w:b w:val="0"/>
          <w:i w:val="0"/>
          <w:sz w:val="22"/>
        </w:rPr>
        <w:t xml:space="preserve">Further levels of review. </w:t>
      </w:r>
      <w:r>
        <w:rPr>
          <w:rFonts w:ascii="Times New Roman" w:hAnsi="Times New Roman"/>
          <w:b w:val="0"/>
          <w:i w:val="0"/>
          <w:sz w:val="22"/>
        </w:rPr>
        <w:t>Following Independent Review Entity determination, further levels of administrative review remain available, including Administrative Law Judge hearing, Medicare Appeals Council review, and federal district court review, in accordance with 42 C.F.R. Part 422, Subpart M, subject to the applicable amount-in-controversy and timing requirements.</w:t>
      </w:r>
    </w:p>
    <w:p>
      <w:pPr>
        <w:spacing w:before="0" w:after="280"/>
      </w:pPr>
      <w:r>
        <w:rPr>
          <w:rFonts w:ascii="Times New Roman" w:hAnsi="Times New Roman"/>
          <w:b w:val="0"/>
          <w:i w:val="0"/>
          <w:sz w:val="22"/>
        </w:rPr>
        <w:t xml:space="preserve">Member assistance. </w:t>
      </w:r>
      <w:r>
        <w:rPr>
          <w:rFonts w:ascii="Times New Roman" w:hAnsi="Times New Roman"/>
          <w:b w:val="0"/>
          <w:i w:val="0"/>
          <w:sz w:val="22"/>
        </w:rPr>
        <w:t>The member may contact Sentinel Health Plan Member Services at the number on the member identification card, or 1-800-MEDICARE, for additional information regarding appeal rights and the external review process.</w:t>
      </w:r>
    </w:p>
    <w:p>
      <w:pPr>
        <w:spacing w:before="0" w:after="200"/>
      </w:pPr>
      <w:r>
        <w:rPr>
          <w:rFonts w:ascii="Times New Roman" w:hAnsi="Times New Roman"/>
          <w:b w:val="0"/>
          <w:i w:val="0"/>
          <w:sz w:val="22"/>
        </w:rPr>
        <w:t>Sincerely,</w:t>
      </w:r>
    </w:p>
    <w:p>
      <w:pPr>
        <w:spacing w:before="0" w:after="40"/>
      </w:pPr>
      <w:r>
        <w:rPr>
          <w:rFonts w:ascii="Times New Roman" w:hAnsi="Times New Roman"/>
          <w:b w:val="0"/>
          <w:i/>
          <w:sz w:val="22"/>
        </w:rPr>
        <w:t>Electronically signed</w:t>
      </w:r>
    </w:p>
    <w:p>
      <w:pPr>
        <w:spacing w:before="0" w:after="40"/>
      </w:pPr>
      <w:r>
        <w:rPr>
          <w:rFonts w:ascii="Times New Roman" w:hAnsi="Times New Roman"/>
          <w:b/>
          <w:i w:val="0"/>
          <w:sz w:val="22"/>
        </w:rPr>
        <w:t>Sterling Ovid, MD</w:t>
      </w:r>
    </w:p>
    <w:p>
      <w:pPr>
        <w:spacing w:before="0" w:after="40"/>
      </w:pPr>
      <w:r>
        <w:rPr>
          <w:rFonts w:ascii="Times New Roman" w:hAnsi="Times New Roman"/>
          <w:b w:val="0"/>
          <w:i w:val="0"/>
          <w:sz w:val="22"/>
        </w:rPr>
        <w:t>Medical Director, Medicare Advantage</w:t>
      </w:r>
    </w:p>
    <w:p>
      <w:pPr>
        <w:spacing w:before="0" w:after="280"/>
      </w:pPr>
      <w:r>
        <w:rPr>
          <w:rFonts w:ascii="Times New Roman" w:hAnsi="Times New Roman"/>
          <w:b w:val="0"/>
          <w:i w:val="0"/>
          <w:sz w:val="22"/>
        </w:rPr>
        <w:t>Sentinel Health Plan</w:t>
      </w:r>
    </w:p>
    <w:p>
      <w:pPr>
        <w:spacing w:before="0" w:after="40"/>
      </w:pPr>
      <w:r>
        <w:rPr>
          <w:rFonts w:ascii="Times New Roman" w:hAnsi="Times New Roman"/>
          <w:b w:val="0"/>
          <w:i w:val="0"/>
          <w:sz w:val="20"/>
        </w:rPr>
        <w:t>cc: Member of record (Marva Lydell, 3617 Linden Court, Cedar Falls, IL 60481)</w:t>
      </w:r>
    </w:p>
    <w:p>
      <w:pPr>
        <w:spacing w:before="0" w:after="40"/>
      </w:pPr>
      <w:r>
        <w:rPr>
          <w:rFonts w:ascii="Times New Roman" w:hAnsi="Times New Roman"/>
          <w:b w:val="0"/>
          <w:i w:val="0"/>
          <w:sz w:val="20"/>
        </w:rPr>
        <w:t xml:space="preserve">       Utilization Management, Sanctum Regional Medical Center</w:t>
      </w:r>
    </w:p>
    <w:p>
      <w:pPr>
        <w:spacing w:before="0" w:after="40"/>
      </w:pPr>
      <w:r>
        <w:rPr>
          <w:rFonts w:ascii="Times New Roman" w:hAnsi="Times New Roman"/>
          <w:b w:val="0"/>
          <w:i w:val="0"/>
          <w:sz w:val="20"/>
        </w:rPr>
        <w:t xml:space="preserve">       Willowmere Skilled Nursing &amp; Rehabilitation - Intake</w:t>
      </w:r>
    </w:p>
    <w:p>
      <w:pPr>
        <w:spacing w:before="0" w:after="280"/>
      </w:pPr>
      <w:r>
        <w:rPr>
          <w:rFonts w:ascii="Times New Roman" w:hAnsi="Times New Roman"/>
          <w:b w:val="0"/>
          <w:i w:val="0"/>
          <w:sz w:val="20"/>
        </w:rPr>
        <w:t xml:space="preserve">       Sentinel Health Plan claim file SHA-DEN-2025-062303</w:t>
      </w:r>
    </w:p>
    <w:p>
      <w:pPr>
        <w:spacing w:before="80" w:after="40"/>
        <w:pBdr>
          <w:bottom w:val="single" w:sz="8" w:space="1" w:color="000000"/>
        </w:pBdr>
      </w:pPr>
    </w:p>
    <w:p>
      <w:pPr>
        <w:spacing w:before="0" w:after="40"/>
        <w:jc w:val="center"/>
      </w:pPr>
      <w:r>
        <w:rPr>
          <w:rFonts w:ascii="Times New Roman" w:hAnsi="Times New Roman"/>
          <w:b w:val="0"/>
          <w:i/>
          <w:sz w:val="18"/>
        </w:rPr>
        <w:t>This notice constitutes the plan's reconsideration determination under 42 C.F.R. Section  422.582. Retain for the member's records.</w:t>
      </w:r>
    </w:p>
    <w:sectPr w:rsidR="00FC693F" w:rsidRPr="0006063C" w:rsidSect="00034616">
      <w:pgSz w:w="12240" w:h="15840"/>
      <w:pgMar w:top="1008"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