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ourier New" w:hAnsi="Courier New"/>
          <w:b/>
          <w:sz w:val="24"/>
        </w:rPr>
        <w:t>SAFETY EVENT INTAKE - 7-DAY READMISSION</w:t>
      </w:r>
    </w:p>
    <w:p>
      <w:pPr>
        <w:spacing w:after="40" w:before="0"/>
      </w:pPr>
      <w:r>
        <w:rPr>
          <w:rFonts w:ascii="Courier New" w:hAnsi="Courier New"/>
          <w:b w:val="0"/>
          <w:sz w:val="18"/>
        </w:rPr>
        <w:t/>
      </w:r>
    </w:p>
    <w:p>
      <w:pPr>
        <w:spacing w:after="0" w:before="0"/>
      </w:pPr>
    </w:p>
    <w:p>
      <w:pPr>
        <w:spacing w:after="40" w:before="0"/>
      </w:pPr>
      <w:r>
        <w:rPr>
          <w:rFonts w:ascii="Courier New" w:hAnsi="Courier New"/>
          <w:b/>
          <w:sz w:val="20"/>
        </w:rPr>
        <w:t/>
      </w:r>
    </w:p>
    <w:p>
      <w:pPr>
        <w:spacing w:after="40" w:before="0"/>
      </w:pPr>
      <w:r>
        <w:rPr>
          <w:rFonts w:ascii="Courier New" w:hAnsi="Courier New"/>
          <w:b w:val="0"/>
          <w:sz w:val="20"/>
        </w:rPr>
        <w:t>Sanctum Regional Medical Center | Patient Safety &amp; Quality | 06/25/2025</w:t>
      </w:r>
    </w:p>
    <w:p>
      <w:pPr>
        <w:spacing w:after="40" w:before="0"/>
      </w:pPr>
      <w:r>
        <w:rPr>
          <w:rFonts w:ascii="Courier New" w:hAnsi="Courier New"/>
          <w:b w:val="0"/>
          <w:sz w:val="20"/>
        </w:rPr>
        <w:t>1450 Wycliffe Boulevard, Cedar Falls, IL 60481</w:t>
      </w:r>
    </w:p>
    <w:p>
      <w:pPr>
        <w:spacing w:after="0" w:before="0"/>
      </w:pPr>
    </w:p>
    <w:p>
      <w:pPr>
        <w:spacing w:after="40" w:before="0"/>
      </w:pPr>
      <w:r>
        <w:rPr>
          <w:rFonts w:ascii="Courier New" w:hAnsi="Courier New"/>
          <w:b w:val="0"/>
          <w:sz w:val="20"/>
        </w:rPr>
        <w:t>TO:     Dr. Coralie Naismith, MD - Patient Safety Officer (NPI 1648205937)</w:t>
      </w:r>
    </w:p>
    <w:p>
      <w:pPr>
        <w:spacing w:after="40" w:before="0"/>
      </w:pPr>
      <w:r>
        <w:rPr>
          <w:rFonts w:ascii="Courier New" w:hAnsi="Courier New"/>
          <w:b w:val="0"/>
          <w:sz w:val="20"/>
        </w:rPr>
        <w:t>FROM:   Renata Holloway, BSN, RN - Quality &amp; Safety Analyst, Patient Safety &amp; Quality</w:t>
      </w:r>
    </w:p>
    <w:p>
      <w:pPr>
        <w:spacing w:after="40" w:before="0"/>
      </w:pPr>
      <w:r>
        <w:rPr>
          <w:rFonts w:ascii="Courier New" w:hAnsi="Courier New"/>
          <w:b w:val="0"/>
          <w:sz w:val="20"/>
        </w:rPr>
        <w:t>DATE PREPARED: 06/25/2025</w:t>
      </w:r>
    </w:p>
    <w:p>
      <w:pPr>
        <w:spacing w:after="40" w:before="0"/>
      </w:pPr>
      <w:r>
        <w:rPr>
          <w:rFonts w:ascii="Courier New" w:hAnsi="Courier New"/>
          <w:b w:val="0"/>
          <w:sz w:val="20"/>
        </w:rPr>
        <w:t>ROUTING:  Second-Level Review queue - awaiting Patient Safety Officer disposition</w:t>
      </w:r>
    </w:p>
    <w:p>
      <w:pPr>
        <w:spacing w:after="0" w:before="0"/>
      </w:pPr>
    </w:p>
    <w:p>
      <w:pPr>
        <w:spacing w:after="40" w:before="0"/>
      </w:pPr>
      <w:r>
        <w:rPr>
          <w:rFonts w:ascii="Courier New" w:hAnsi="Courier New"/>
          <w:b/>
          <w:sz w:val="20"/>
        </w:rPr>
        <w:t>HEADER - EVENT IDENTIFIERS</w:t>
      </w:r>
    </w:p>
    <w:p>
      <w:pPr>
        <w:spacing w:after="40" w:before="0"/>
      </w:pPr>
      <w:r>
        <w:rPr>
          <w:rFonts w:ascii="Courier New" w:hAnsi="Courier New"/>
          <w:b w:val="0"/>
          <w:sz w:val="20"/>
        </w:rPr>
        <w:t>Event ID                                    SE-2025-1027</w:t>
      </w:r>
    </w:p>
    <w:p>
      <w:pPr>
        <w:spacing w:after="40" w:before="0"/>
      </w:pPr>
      <w:r>
        <w:rPr>
          <w:rFonts w:ascii="Courier New" w:hAnsi="Courier New"/>
          <w:b w:val="0"/>
          <w:sz w:val="20"/>
        </w:rPr>
        <w:t>Event Type                                  7-Day Readmission (unplanned, same-facility)</w:t>
      </w:r>
    </w:p>
    <w:p>
      <w:pPr>
        <w:spacing w:after="40" w:before="0"/>
      </w:pPr>
      <w:r>
        <w:rPr>
          <w:rFonts w:ascii="Courier New" w:hAnsi="Courier New"/>
          <w:b w:val="0"/>
          <w:sz w:val="20"/>
        </w:rPr>
        <w:t>Date of Event                               06/25/2025</w:t>
      </w:r>
    </w:p>
    <w:p>
      <w:pPr>
        <w:spacing w:after="40" w:before="0"/>
      </w:pPr>
      <w:r>
        <w:rPr>
          <w:rFonts w:ascii="Courier New" w:hAnsi="Courier New"/>
          <w:b w:val="0"/>
          <w:sz w:val="20"/>
        </w:rPr>
        <w:t>Index Discharge Date                        06/22/2025</w:t>
      </w:r>
    </w:p>
    <w:p>
      <w:pPr>
        <w:spacing w:after="40" w:before="0"/>
      </w:pPr>
      <w:r>
        <w:rPr>
          <w:rFonts w:ascii="Courier New" w:hAnsi="Courier New"/>
          <w:b w:val="0"/>
          <w:sz w:val="20"/>
        </w:rPr>
        <w:t>Days from Index Discharge to Readmission    3</w:t>
      </w:r>
    </w:p>
    <w:p>
      <w:pPr>
        <w:spacing w:after="40" w:before="0"/>
      </w:pPr>
      <w:r>
        <w:rPr>
          <w:rFonts w:ascii="Courier New" w:hAnsi="Courier New"/>
          <w:b w:val="0"/>
          <w:sz w:val="20"/>
        </w:rPr>
        <w:t>Patient Name                                Marva Lydell</w:t>
      </w:r>
    </w:p>
    <w:p>
      <w:pPr>
        <w:spacing w:after="40" w:before="0"/>
      </w:pPr>
      <w:r>
        <w:rPr>
          <w:rFonts w:ascii="Courier New" w:hAnsi="Courier New"/>
          <w:b w:val="0"/>
          <w:sz w:val="20"/>
        </w:rPr>
        <w:t>MRN                                         ML-7782304</w:t>
      </w:r>
    </w:p>
    <w:p>
      <w:pPr>
        <w:spacing w:after="40" w:before="0"/>
      </w:pPr>
      <w:r>
        <w:rPr>
          <w:rFonts w:ascii="Courier New" w:hAnsi="Courier New"/>
          <w:b w:val="0"/>
          <w:sz w:val="20"/>
        </w:rPr>
        <w:t>Index Encounter CSN                         ENC-20250613-7782304</w:t>
      </w:r>
    </w:p>
    <w:p>
      <w:pPr>
        <w:spacing w:after="40" w:before="0"/>
      </w:pPr>
      <w:r>
        <w:rPr>
          <w:rFonts w:ascii="Courier New" w:hAnsi="Courier New"/>
          <w:b w:val="0"/>
          <w:sz w:val="20"/>
        </w:rPr>
        <w:t>Index Admitting Service                     Hospital Medicine (4 West Med-Surg, Room 4W-218)</w:t>
      </w:r>
    </w:p>
    <w:p>
      <w:pPr>
        <w:spacing w:after="40" w:before="0"/>
      </w:pPr>
      <w:r>
        <w:rPr>
          <w:rFonts w:ascii="Courier New" w:hAnsi="Courier New"/>
          <w:b w:val="0"/>
          <w:sz w:val="20"/>
        </w:rPr>
        <w:t>Index Attending of Record                   Dr. Marcus Thorne, MD - Hospitalist</w:t>
      </w:r>
    </w:p>
    <w:p>
      <w:pPr>
        <w:spacing w:after="40" w:before="0"/>
      </w:pPr>
      <w:r>
        <w:rPr>
          <w:rFonts w:ascii="Courier New" w:hAnsi="Courier New"/>
          <w:b w:val="0"/>
          <w:sz w:val="20"/>
        </w:rPr>
        <w:t>Index Discharge Disposition                 Home with home health</w:t>
      </w:r>
    </w:p>
    <w:p>
      <w:pPr>
        <w:spacing w:after="40" w:before="0"/>
      </w:pPr>
      <w:r>
        <w:rPr>
          <w:rFonts w:ascii="Courier New" w:hAnsi="Courier New"/>
          <w:b w:val="0"/>
          <w:sz w:val="20"/>
        </w:rPr>
        <w:t>Readmission Source                          Emergency Department, self-presentation by family</w:t>
      </w:r>
    </w:p>
    <w:p>
      <w:pPr>
        <w:spacing w:after="40" w:before="0"/>
      </w:pPr>
      <w:r>
        <w:rPr>
          <w:rFonts w:ascii="Courier New" w:hAnsi="Courier New"/>
          <w:b w:val="0"/>
          <w:sz w:val="20"/>
        </w:rPr>
        <w:t>Patient Age / Sex                           72 / Female</w:t>
      </w:r>
    </w:p>
    <w:p>
      <w:pPr>
        <w:spacing w:after="0" w:before="0"/>
      </w:pPr>
    </w:p>
    <w:p>
      <w:pPr>
        <w:spacing w:after="40" w:before="0"/>
      </w:pPr>
      <w:r>
        <w:rPr>
          <w:rFonts w:ascii="Courier New" w:hAnsi="Courier New"/>
          <w:b/>
          <w:sz w:val="20"/>
        </w:rPr>
        <w:t>READMISSION PRESENTATION (PER ED INTAKE)</w:t>
      </w:r>
    </w:p>
    <w:p>
      <w:pPr>
        <w:spacing w:after="40" w:before="0"/>
      </w:pPr>
      <w:r>
        <w:rPr>
          <w:rFonts w:ascii="Courier New" w:hAnsi="Courier New"/>
          <w:b w:val="0"/>
          <w:sz w:val="20"/>
        </w:rPr>
        <w:t>Patient returned to the Emergency Department on 06/25/2025 with worsening dyspnea over the prior 36 hours, hypoxemia on room air at presentation, and a witnessed fall-without-injury at home overnight attributed by patient and daughter to entanglement in home oxygen tubing while ambulating to the bathroom. Daughter reports several home medications were not taken on 06/23 and 06/24 because patient was uncertain which to resume and which had been stopped. Patient endorses fatigue with any ambulation at home and reports difficulty managing the home oxygen equipment. Triage SpO2 on room air documented in the low 80s, improving on supplemental oxygen.</w:t>
      </w:r>
    </w:p>
    <w:p>
      <w:pPr>
        <w:spacing w:after="0" w:before="0"/>
      </w:pPr>
    </w:p>
    <w:p>
      <w:pPr>
        <w:spacing w:after="40" w:before="0"/>
      </w:pPr>
      <w:r>
        <w:rPr>
          <w:rFonts w:ascii="Courier New" w:hAnsi="Courier New"/>
          <w:b/>
          <w:sz w:val="20"/>
        </w:rPr>
        <w:t>INITIAL CATEGORIZATION (FIRST-LEVEL, ANALYST-ASSIGNED)</w:t>
      </w:r>
    </w:p>
    <w:p>
      <w:pPr>
        <w:spacing w:after="40"/>
      </w:pPr>
      <w:r>
        <w:rPr>
          <w:rFonts w:ascii="Courier New" w:hAnsi="Courier New"/>
          <w:b w:val="0"/>
          <w:sz w:val="20"/>
        </w:rPr>
        <w:t xml:space="preserve">Probable PATIENT NONADHERENCE. </w:t>
      </w:r>
      <w:r>
        <w:rPr>
          <w:rFonts w:ascii="Courier New" w:hAnsi="Courier New"/>
          <w:sz w:val="20"/>
        </w:rPr>
        <w:t>First-level review suggests the readmission is most consistent with patient-level factors: home medication regimen complexity, oxygen self-management challenges, deconditioning, and an unfavorable home environment. Caregiver support reported as available but possibly unutilized.</w:t>
      </w:r>
    </w:p>
    <w:p>
      <w:pPr>
        <w:spacing w:after="40" w:before="0"/>
      </w:pPr>
      <w:r>
        <w:rPr>
          <w:rFonts w:ascii="Courier New" w:hAnsi="Courier New"/>
          <w:b w:val="0"/>
          <w:sz w:val="20"/>
        </w:rPr>
        <w:t>This categorization is provisional and is forwarded to the Patient Safety Officer for second-level review per departmental policy on 7-day readmissions.</w:t>
      </w:r>
    </w:p>
    <w:p>
      <w:pPr>
        <w:spacing w:after="0" w:before="0"/>
      </w:pPr>
    </w:p>
    <w:p>
      <w:pPr>
        <w:spacing w:after="40" w:before="0"/>
      </w:pPr>
      <w:r>
        <w:rPr>
          <w:rFonts w:ascii="Courier New" w:hAnsi="Courier New"/>
          <w:b/>
          <w:sz w:val="20"/>
        </w:rPr>
        <w:t>CONTRIBUTING FACTORS CHECKLIST</w:t>
      </w:r>
    </w:p>
    <w:p>
      <w:pPr>
        <w:spacing w:after="40" w:before="0"/>
      </w:pPr>
      <w:r>
        <w:rPr>
          <w:rFonts w:ascii="Courier New" w:hAnsi="Courier New"/>
          <w:b w:val="0"/>
          <w:sz w:val="20"/>
        </w:rPr>
        <w:t>Items marked [X] are preselected by first-level analyst review. Items marked [ ] are available on the standard checklist and have not been selected at this stage. Patient Safety Officer may add, remove, or reweight selections at second-level review.</w:t>
      </w:r>
    </w:p>
    <w:p>
      <w:pPr>
        <w:spacing w:after="0" w:before="0"/>
      </w:pPr>
    </w:p>
    <w:p>
      <w:pPr>
        <w:spacing w:after="40" w:before="0"/>
      </w:pPr>
      <w:r>
        <w:rPr>
          <w:rFonts w:ascii="Courier New" w:hAnsi="Courier New"/>
          <w:b w:val="0"/>
          <w:sz w:val="20"/>
        </w:rPr>
        <w:t>[X] Patient nonadherence to discharge medication regimen</w:t>
      </w:r>
    </w:p>
    <w:p>
      <w:pPr>
        <w:spacing w:after="40" w:before="0"/>
      </w:pPr>
      <w:r>
        <w:rPr>
          <w:rFonts w:ascii="Courier New" w:hAnsi="Courier New"/>
          <w:b w:val="0"/>
          <w:sz w:val="20"/>
        </w:rPr>
        <w:t>[X] Patient medication confusion / regimen complexity</w:t>
      </w:r>
    </w:p>
    <w:p>
      <w:pPr>
        <w:spacing w:after="40" w:before="0"/>
      </w:pPr>
      <w:r>
        <w:rPr>
          <w:rFonts w:ascii="Courier New" w:hAnsi="Courier New"/>
          <w:b w:val="0"/>
          <w:sz w:val="20"/>
        </w:rPr>
        <w:t>[X] Fall risk - patient-level (deconditioning, home layout)</w:t>
      </w:r>
    </w:p>
    <w:p>
      <w:pPr>
        <w:spacing w:after="40" w:before="0"/>
      </w:pPr>
      <w:r>
        <w:rPr>
          <w:rFonts w:ascii="Courier New" w:hAnsi="Courier New"/>
          <w:b w:val="0"/>
          <w:sz w:val="20"/>
        </w:rPr>
        <w:t>[X] Self-management challenge - home oxygen</w:t>
      </w:r>
    </w:p>
    <w:p>
      <w:pPr>
        <w:spacing w:after="40" w:before="0"/>
      </w:pPr>
      <w:r>
        <w:rPr>
          <w:rFonts w:ascii="Courier New" w:hAnsi="Courier New"/>
          <w:b w:val="0"/>
          <w:sz w:val="20"/>
        </w:rPr>
        <w:t>[X] Unfavorable home environment (stairs, two-story layout)</w:t>
      </w:r>
    </w:p>
    <w:p>
      <w:pPr>
        <w:spacing w:after="40" w:before="0"/>
      </w:pPr>
      <w:r>
        <w:rPr>
          <w:rFonts w:ascii="Courier New" w:hAnsi="Courier New"/>
          <w:b w:val="0"/>
          <w:sz w:val="20"/>
        </w:rPr>
        <w:t>[X] Caregiver support available but possibly unutilized</w:t>
      </w:r>
    </w:p>
    <w:p>
      <w:pPr>
        <w:spacing w:after="40" w:before="0"/>
      </w:pPr>
      <w:r>
        <w:rPr>
          <w:rFonts w:ascii="Courier New" w:hAnsi="Courier New"/>
          <w:b w:val="0"/>
          <w:sz w:val="20"/>
        </w:rPr>
        <w:t>[ ] System / process contributors</w:t>
      </w:r>
    </w:p>
    <w:p>
      <w:pPr>
        <w:spacing w:after="40" w:before="0"/>
      </w:pPr>
      <w:r>
        <w:rPr>
          <w:rFonts w:ascii="Courier New" w:hAnsi="Courier New"/>
          <w:b w:val="0"/>
          <w:sz w:val="20"/>
        </w:rPr>
        <w:t>[ ] Premature or unsafe transition</w:t>
      </w:r>
    </w:p>
    <w:p>
      <w:pPr>
        <w:spacing w:after="40" w:before="0"/>
      </w:pPr>
      <w:r>
        <w:rPr>
          <w:rFonts w:ascii="Courier New" w:hAnsi="Courier New"/>
          <w:b w:val="0"/>
          <w:sz w:val="20"/>
        </w:rPr>
        <w:t>[ ] DME / equipment delivery issue</w:t>
      </w:r>
    </w:p>
    <w:p>
      <w:pPr>
        <w:spacing w:after="40" w:before="0"/>
      </w:pPr>
      <w:r>
        <w:rPr>
          <w:rFonts w:ascii="Courier New" w:hAnsi="Courier New"/>
          <w:b w:val="0"/>
          <w:sz w:val="20"/>
        </w:rPr>
        <w:t>[ ] Patient education / teach-back gap</w:t>
      </w:r>
    </w:p>
    <w:p>
      <w:pPr>
        <w:spacing w:after="40" w:before="0"/>
      </w:pPr>
      <w:r>
        <w:rPr>
          <w:rFonts w:ascii="Courier New" w:hAnsi="Courier New"/>
          <w:b w:val="0"/>
          <w:sz w:val="20"/>
        </w:rPr>
        <w:t>[ ] Medication management / handoff gap</w:t>
      </w:r>
    </w:p>
    <w:p>
      <w:pPr>
        <w:spacing w:after="40" w:before="0"/>
      </w:pPr>
      <w:r>
        <w:rPr>
          <w:rFonts w:ascii="Courier New" w:hAnsi="Courier New"/>
          <w:b w:val="0"/>
          <w:sz w:val="20"/>
        </w:rPr>
        <w:t>[ ] Home environment or support plan mismatch</w:t>
      </w:r>
    </w:p>
    <w:p>
      <w:pPr>
        <w:spacing w:after="40" w:before="0"/>
      </w:pPr>
      <w:r>
        <w:rPr>
          <w:rFonts w:ascii="Courier New" w:hAnsi="Courier New"/>
          <w:b w:val="0"/>
          <w:sz w:val="20"/>
        </w:rPr>
        <w:t>[ ] Communication failure between inpatient team and post-acute services</w:t>
      </w:r>
    </w:p>
    <w:p>
      <w:pPr>
        <w:spacing w:after="40" w:before="0"/>
      </w:pPr>
      <w:r>
        <w:rPr>
          <w:rFonts w:ascii="Courier New" w:hAnsi="Courier New"/>
          <w:b w:val="0"/>
          <w:sz w:val="20"/>
        </w:rPr>
        <w:t>[ ] Documentation discrepancy between treating record and discharge summary</w:t>
      </w:r>
    </w:p>
    <w:p>
      <w:pPr>
        <w:spacing w:after="40" w:before="0"/>
      </w:pPr>
      <w:r>
        <w:rPr>
          <w:rFonts w:ascii="Courier New" w:hAnsi="Courier New"/>
          <w:b w:val="0"/>
          <w:sz w:val="20"/>
        </w:rPr>
        <w:t>[ ] Other (specify)</w:t>
      </w:r>
    </w:p>
    <w:p>
      <w:pPr>
        <w:spacing w:after="0" w:before="0"/>
      </w:pPr>
    </w:p>
    <w:p>
      <w:pPr>
        <w:spacing w:after="40" w:before="0"/>
      </w:pPr>
      <w:r>
        <w:rPr>
          <w:rFonts w:ascii="Courier New" w:hAnsi="Courier New"/>
          <w:b/>
          <w:sz w:val="20"/>
        </w:rPr>
        <w:t>ATTACHED INDEX-STAY DOCUMENTS FOR REVIEW</w:t>
      </w:r>
    </w:p>
    <w:p>
      <w:pPr>
        <w:spacing w:after="40" w:before="0"/>
      </w:pPr>
      <w:r>
        <w:rPr>
          <w:rFonts w:ascii="Courier New" w:hAnsi="Courier New"/>
          <w:b w:val="0"/>
          <w:sz w:val="20"/>
        </w:rPr>
        <w:t>The following index-encounter records are routed with this intake for Dr. Naismith's review:</w:t>
      </w:r>
    </w:p>
    <w:p>
      <w:pPr>
        <w:spacing w:after="40" w:before="0"/>
      </w:pPr>
      <w:r>
        <w:rPr>
          <w:rFonts w:ascii="Courier New" w:hAnsi="Courier New"/>
          <w:b w:val="0"/>
          <w:sz w:val="20"/>
        </w:rPr>
        <w:t>- Hospitalist progress note, Hospital Day 7 (06/19/2025) - Dr. Thorne, attending of record</w:t>
      </w:r>
    </w:p>
    <w:p>
      <w:pPr>
        <w:spacing w:after="40" w:before="0"/>
      </w:pPr>
      <w:r>
        <w:rPr>
          <w:rFonts w:ascii="Courier New" w:hAnsi="Courier New"/>
          <w:b w:val="0"/>
          <w:sz w:val="20"/>
        </w:rPr>
        <w:t/>
      </w:r>
    </w:p>
    <w:p>
      <w:pPr>
        <w:spacing w:after="40" w:before="0"/>
      </w:pPr>
      <w:r>
        <w:rPr>
          <w:rFonts w:ascii="Courier New" w:hAnsi="Courier New"/>
          <w:b w:val="0"/>
          <w:sz w:val="20"/>
        </w:rPr>
        <w:t/>
      </w:r>
    </w:p>
    <w:p>
      <w:pPr>
        <w:spacing w:after="40" w:before="0"/>
      </w:pPr>
      <w:r>
        <w:rPr>
          <w:rFonts w:ascii="Courier New" w:hAnsi="Courier New"/>
          <w:b w:val="0"/>
          <w:sz w:val="20"/>
        </w:rPr>
        <w:t/>
      </w:r>
    </w:p>
    <w:p>
      <w:pPr>
        <w:spacing w:after="40" w:before="0"/>
      </w:pPr>
      <w:r>
        <w:rPr>
          <w:rFonts w:ascii="Courier New" w:hAnsi="Courier New"/>
          <w:b w:val="0"/>
          <w:sz w:val="20"/>
        </w:rPr>
        <w:t>- Case management screen (06/18/2025) - Carrow, RN, CCM</w:t>
      </w:r>
    </w:p>
    <w:p>
      <w:pPr>
        <w:spacing w:after="40" w:before="0"/>
      </w:pPr>
      <w:r>
        <w:rPr>
          <w:rFonts w:ascii="Courier New" w:hAnsi="Courier New"/>
          <w:b w:val="0"/>
          <w:sz w:val="20"/>
        </w:rPr>
        <w:t/>
      </w:r>
    </w:p>
    <w:p>
      <w:pPr>
        <w:spacing w:after="40" w:before="0"/>
      </w:pPr>
      <w:r>
        <w:rPr>
          <w:rFonts w:ascii="Courier New" w:hAnsi="Courier New"/>
          <w:b w:val="0"/>
          <w:sz w:val="20"/>
        </w:rPr>
        <w:t>- Nephrology consult note (06/15/2025) - Dr. Lund</w:t>
      </w:r>
    </w:p>
    <w:p>
      <w:pPr>
        <w:spacing w:after="40" w:before="0"/>
      </w:pPr>
      <w:r>
        <w:rPr>
          <w:rFonts w:ascii="Courier New" w:hAnsi="Courier New"/>
          <w:b w:val="0"/>
          <w:sz w:val="20"/>
        </w:rPr>
        <w:t/>
      </w:r>
    </w:p>
    <w:p>
      <w:pPr>
        <w:spacing w:after="40" w:before="0"/>
      </w:pPr>
      <w:r>
        <w:rPr>
          <w:rFonts w:ascii="Courier New" w:hAnsi="Courier New"/>
          <w:b w:val="0"/>
          <w:sz w:val="20"/>
        </w:rPr>
        <w:t>- Signed resident transition note (06/21/2025) - Dr. Costa, PGY-2</w:t>
      </w:r>
    </w:p>
    <w:p>
      <w:pPr>
        <w:spacing w:after="40" w:before="0"/>
      </w:pPr>
      <w:r>
        <w:rPr>
          <w:rFonts w:ascii="Courier New" w:hAnsi="Courier New"/>
          <w:b w:val="0"/>
          <w:sz w:val="20"/>
        </w:rPr>
        <w:t>- DME vendor coordination worksheet (06/21/2025) - Prairie Home Medical Equipment account PHME-LYDELL-44218</w:t>
      </w:r>
    </w:p>
    <w:p>
      <w:pPr>
        <w:spacing w:after="0" w:before="0"/>
      </w:pPr>
    </w:p>
    <w:p>
      <w:pPr>
        <w:spacing w:after="40" w:before="0"/>
      </w:pPr>
      <w:r>
        <w:rPr>
          <w:rFonts w:ascii="Courier New" w:hAnsi="Courier New"/>
          <w:b/>
          <w:sz w:val="20"/>
        </w:rPr>
        <w:t>RECOMMENDATION</w:t>
      </w:r>
    </w:p>
    <w:p>
      <w:pPr>
        <w:spacing w:after="40"/>
      </w:pPr>
      <w:r>
        <w:rPr>
          <w:rFonts w:ascii="Courier New" w:hAnsi="Courier New"/>
          <w:i/>
          <w:sz w:val="20"/>
        </w:rPr>
        <w:t>[BLANK - awaiting Patient Safety Officer second-level review and disposition]</w:t>
      </w:r>
    </w:p>
    <w:p>
      <w:pPr>
        <w:spacing w:after="0" w:before="0"/>
      </w:pPr>
    </w:p>
    <w:p>
      <w:pPr>
        <w:spacing w:after="40" w:before="0"/>
      </w:pPr>
      <w:r>
        <w:rPr>
          <w:rFonts w:ascii="Courier New" w:hAnsi="Courier New"/>
          <w:b/>
          <w:sz w:val="20"/>
        </w:rPr>
        <w:t>ACKNOWLEDGMENT / ROUTING</w:t>
      </w:r>
    </w:p>
    <w:p>
      <w:pPr>
        <w:spacing w:after="40" w:before="0"/>
      </w:pPr>
      <w:r>
        <w:rPr>
          <w:rFonts w:ascii="Courier New" w:hAnsi="Courier New"/>
          <w:b w:val="0"/>
          <w:sz w:val="20"/>
        </w:rPr>
        <w:t>Submitted to Patient Safety Officer queue 06/25/2025.</w:t>
      </w:r>
    </w:p>
    <w:p>
      <w:pPr>
        <w:spacing w:after="0" w:before="0"/>
      </w:pPr>
    </w:p>
    <w:p>
      <w:pPr>
        <w:spacing w:after="40" w:before="0"/>
      </w:pPr>
      <w:r>
        <w:rPr>
          <w:rFonts w:ascii="Courier New" w:hAnsi="Courier New"/>
          <w:b w:val="0"/>
          <w:sz w:val="20"/>
        </w:rPr>
        <w:t>Prepared by: Renata Holloway, BSN, RN - Quality &amp; Safety Analyst</w:t>
      </w:r>
    </w:p>
    <w:p>
      <w:pPr>
        <w:spacing w:after="40"/>
      </w:pPr>
      <w:r>
        <w:rPr>
          <w:rFonts w:ascii="Courier New" w:hAnsi="Courier New"/>
          <w:sz w:val="20"/>
        </w:rPr>
        <w:t xml:space="preserve">Reviewed by:  </w:t>
      </w:r>
      <w:r>
        <w:rPr>
          <w:rFonts w:ascii="Courier New" w:hAnsi="Courier New"/>
          <w:i/>
          <w:sz w:val="20"/>
        </w:rPr>
        <w:t>[pending - Dr. Coralie Naismith, MD, Patient Safety Officer]</w:t>
      </w:r>
    </w:p>
    <w:p>
      <w:pPr>
        <w:spacing w:after="0" w:before="0"/>
      </w:pPr>
    </w:p>
    <w:p>
      <w:pPr>
        <w:spacing w:after="40"/>
      </w:pPr>
      <w:r>
        <w:rPr>
          <w:rFonts w:ascii="Courier New" w:hAnsi="Courier New"/>
          <w:i/>
          <w:sz w:val="18"/>
        </w:rPr>
        <w:t>This intake is a first-level analyst categorization and is not a final attribution. Second-level review by the Patient Safety Officer governs final classification of this readmission event.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