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05/16/2026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Tobias Renquist, MD (PGY-2)</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HISTORY AND PHYSICAL</w:t>
            </w:r>
          </w:p>
        </w:tc>
      </w:tr>
    </w:tbl>
    <w:p/>
    <w:p>
      <w:r>
        <w:rPr>
          <w:rFonts w:ascii="Arial" w:hAnsi="Arial"/>
          <w:b/>
          <w:i w:val="0"/>
          <w:color w:val="1F3864"/>
          <w:sz w:val="28"/>
        </w:rPr>
        <w:t>HISTORY AND PHYSICAL</w:t>
      </w:r>
    </w:p>
    <w:p>
      <w:r>
        <w:rPr>
          <w:rFonts w:ascii="Arial" w:hAnsi="Arial"/>
          <w:b w:val="0"/>
          <w:i w:val="0"/>
          <w:color w:val="5E6670"/>
          <w:sz w:val="16"/>
        </w:rPr>
        <w:t>Author: Tobias Renquist, MD (PGY-2) | Cosign: Lillian Everet, MD | Service: Hospital Medicine | Date of Service: 05/16/2026 1130 | Status: Signed</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05/16/2026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REASON FOR ADMISSION</w:t>
      </w:r>
    </w:p>
    <w:p>
      <w:r>
        <w:rPr>
          <w:rFonts w:ascii="Arial" w:hAnsi="Arial"/>
          <w:b w:val="0"/>
          <w:i w:val="0"/>
          <w:color w:val="232830"/>
          <w:sz w:val="19"/>
        </w:rPr>
        <w:t>Limb-threatening left diabetic foot infection with acute kidney injury on chronic kidney disease stage 3b.</w:t>
      </w:r>
    </w:p>
    <w:p>
      <w:pPr>
        <w:spacing w:before="180" w:after="60"/>
        <w:pBdr>
          <w:bottom w:val="single" w:sz="6" w:color="C9D4EA" w:space="2"/>
        </w:pBdr>
      </w:pPr>
      <w:r>
        <w:rPr>
          <w:rFonts w:ascii="Arial" w:hAnsi="Arial"/>
          <w:b/>
          <w:i w:val="0"/>
          <w:color w:val="4472C4"/>
          <w:sz w:val="20"/>
        </w:rPr>
        <w:t>HISTORY OF PRESENT ILLNESS</w:t>
      </w:r>
    </w:p>
    <w:p>
      <w:r>
        <w:rPr>
          <w:rFonts w:ascii="Arial" w:hAnsi="Arial"/>
          <w:b w:val="0"/>
          <w:i w:val="0"/>
          <w:color w:val="232830"/>
          <w:sz w:val="19"/>
        </w:rPr>
        <w:t>Ondina Vasquell is a 68-year-old Spanish-preferred woman with insulin-treated type 2 diabetes, CKD stage 3b, peripheral arterial disease, diabetic neuropathy, HFpEF, and obesity, admitted from the Emergency Department for a worsening left forefoot ulcer with drainage and surrounding cellulitis. The ulcer began in late April and progressed over about three weeks. History is taken through her daughter and the interpreter; the patient is conversational but defers timing details and is not a fully reliable historian on the wound course.</w:t>
      </w:r>
    </w:p>
    <w:p>
      <w:r>
        <w:rPr>
          <w:rFonts w:ascii="Arial" w:hAnsi="Arial"/>
          <w:b w:val="0"/>
          <w:i w:val="0"/>
          <w:color w:val="232830"/>
          <w:sz w:val="19"/>
        </w:rPr>
        <w:t>She denies self-measured fever, rest pain in the foot, chest pain, orthopnea worse than her baseline, and recent foot trauma. She has reduced protective sensation at baseline and reports she could not feel the wound deteriorate.</w:t>
      </w:r>
    </w:p>
    <w:p>
      <w:pPr>
        <w:spacing w:before="180" w:after="60"/>
        <w:pBdr>
          <w:bottom w:val="single" w:sz="6" w:color="C9D4EA" w:space="2"/>
        </w:pBdr>
      </w:pPr>
      <w:r>
        <w:rPr>
          <w:rFonts w:ascii="Arial" w:hAnsi="Arial"/>
          <w:b/>
          <w:i w:val="0"/>
          <w:color w:val="4472C4"/>
          <w:sz w:val="20"/>
        </w:rPr>
        <w:t>BASELINE FUNCTIONAL STATUS</w:t>
      </w:r>
    </w:p>
    <w:p>
      <w:r>
        <w:rPr>
          <w:rFonts w:ascii="Arial" w:hAnsi="Arial"/>
          <w:b w:val="0"/>
          <w:i w:val="0"/>
          <w:color w:val="232830"/>
          <w:sz w:val="19"/>
        </w:rPr>
        <w:t>Lives alone in a second-floor walk-up apartment with interior stairs. Widowed. Adult daughter, who works night shifts, is the primary but partial caregiver. Independent in basic activities of daily living at baseline; ambulates without a device but with reduced endurance from neuropathy and knee osteoarthritis.</w:t>
      </w:r>
    </w:p>
    <w:p>
      <w:pPr>
        <w:spacing w:before="180" w:after="60"/>
        <w:pBdr>
          <w:bottom w:val="single" w:sz="6" w:color="C9D4EA" w:space="2"/>
        </w:pBdr>
      </w:pPr>
      <w:r>
        <w:rPr>
          <w:rFonts w:ascii="Arial" w:hAnsi="Arial"/>
          <w:b/>
          <w:i w:val="0"/>
          <w:color w:val="4472C4"/>
          <w:sz w:val="20"/>
        </w:rPr>
        <w:t>PAST MEDICAL HISTORY</w:t>
      </w:r>
    </w:p>
    <w:p>
      <w:pPr>
        <w:pStyle w:val="ListBullet"/>
        <w:spacing w:after="30"/>
      </w:pPr>
      <w:r>
        <w:rPr>
          <w:rFonts w:ascii="Arial" w:hAnsi="Arial"/>
          <w:b w:val="0"/>
          <w:i w:val="0"/>
          <w:color w:val="232830"/>
          <w:sz w:val="19"/>
        </w:rPr>
        <w:t>Type 2 diabetes mellitus, insulin-treated, last A1c 8.6 percent</w:t>
      </w:r>
    </w:p>
    <w:p>
      <w:pPr>
        <w:pStyle w:val="ListBullet"/>
        <w:spacing w:after="30"/>
      </w:pPr>
      <w:r>
        <w:rPr>
          <w:rFonts w:ascii="Arial" w:hAnsi="Arial"/>
          <w:b w:val="0"/>
          <w:i w:val="0"/>
          <w:color w:val="232830"/>
          <w:sz w:val="19"/>
        </w:rPr>
        <w:t>Chronic kidney disease stage 3b (baseline creatinine 1.5, eGFR 38)</w:t>
      </w:r>
    </w:p>
    <w:p>
      <w:pPr>
        <w:pStyle w:val="ListBullet"/>
        <w:spacing w:after="30"/>
      </w:pPr>
      <w:r>
        <w:rPr>
          <w:rFonts w:ascii="Arial" w:hAnsi="Arial"/>
          <w:b w:val="0"/>
          <w:i w:val="0"/>
          <w:color w:val="232830"/>
          <w:sz w:val="19"/>
        </w:rPr>
        <w:t>Peripheral arterial disease</w:t>
      </w:r>
    </w:p>
    <w:p>
      <w:pPr>
        <w:pStyle w:val="ListBullet"/>
        <w:spacing w:after="30"/>
      </w:pPr>
      <w:r>
        <w:rPr>
          <w:rFonts w:ascii="Arial" w:hAnsi="Arial"/>
          <w:b w:val="0"/>
          <w:i w:val="0"/>
          <w:color w:val="232830"/>
          <w:sz w:val="19"/>
        </w:rPr>
        <w:t>Diabetic peripheral neuropathy</w:t>
      </w:r>
    </w:p>
    <w:p>
      <w:pPr>
        <w:pStyle w:val="ListBullet"/>
        <w:spacing w:after="30"/>
      </w:pPr>
      <w:r>
        <w:rPr>
          <w:rFonts w:ascii="Arial" w:hAnsi="Arial"/>
          <w:b w:val="0"/>
          <w:i w:val="0"/>
          <w:color w:val="232830"/>
          <w:sz w:val="19"/>
        </w:rPr>
        <w:t>Heart failure with preserved ejection fraction</w:t>
      </w:r>
    </w:p>
    <w:p>
      <w:pPr>
        <w:pStyle w:val="ListBullet"/>
        <w:spacing w:after="30"/>
      </w:pPr>
      <w:r>
        <w:rPr>
          <w:rFonts w:ascii="Arial" w:hAnsi="Arial"/>
          <w:b w:val="0"/>
          <w:i w:val="0"/>
          <w:color w:val="232830"/>
          <w:sz w:val="19"/>
        </w:rPr>
        <w:t>Hypertension</w:t>
      </w:r>
    </w:p>
    <w:p>
      <w:pPr>
        <w:pStyle w:val="ListBullet"/>
        <w:spacing w:after="30"/>
      </w:pPr>
      <w:r>
        <w:rPr>
          <w:rFonts w:ascii="Arial" w:hAnsi="Arial"/>
          <w:b w:val="0"/>
          <w:i w:val="0"/>
          <w:color w:val="232830"/>
          <w:sz w:val="19"/>
        </w:rPr>
        <w:t>Anemia of chronic kidney disease (no erythropoiesis-stimulating agent)</w:t>
      </w:r>
    </w:p>
    <w:p>
      <w:pPr>
        <w:pStyle w:val="ListBullet"/>
        <w:spacing w:after="30"/>
      </w:pPr>
      <w:r>
        <w:rPr>
          <w:rFonts w:ascii="Arial" w:hAnsi="Arial"/>
          <w:b w:val="0"/>
          <w:i w:val="0"/>
          <w:color w:val="232830"/>
          <w:sz w:val="19"/>
        </w:rPr>
        <w:t>Dyslipidemia</w:t>
      </w:r>
    </w:p>
    <w:p>
      <w:pPr>
        <w:pStyle w:val="ListBullet"/>
        <w:spacing w:after="30"/>
      </w:pPr>
      <w:r>
        <w:rPr>
          <w:rFonts w:ascii="Arial" w:hAnsi="Arial"/>
          <w:b w:val="0"/>
          <w:i w:val="0"/>
          <w:color w:val="232830"/>
          <w:sz w:val="19"/>
        </w:rPr>
        <w:t>GERD</w:t>
      </w:r>
    </w:p>
    <w:p>
      <w:pPr>
        <w:pStyle w:val="ListBullet"/>
        <w:spacing w:after="30"/>
      </w:pPr>
      <w:r>
        <w:rPr>
          <w:rFonts w:ascii="Arial" w:hAnsi="Arial"/>
          <w:b w:val="0"/>
          <w:i w:val="0"/>
          <w:color w:val="232830"/>
          <w:sz w:val="19"/>
        </w:rPr>
        <w:t>Obstructive sleep apnea on CPAP</w:t>
      </w:r>
    </w:p>
    <w:p>
      <w:pPr>
        <w:pStyle w:val="ListBullet"/>
        <w:spacing w:after="30"/>
      </w:pPr>
      <w:r>
        <w:rPr>
          <w:rFonts w:ascii="Arial" w:hAnsi="Arial"/>
          <w:b w:val="0"/>
          <w:i w:val="0"/>
          <w:color w:val="232830"/>
          <w:sz w:val="19"/>
        </w:rPr>
        <w:t>Knee osteoarthritis</w:t>
      </w:r>
    </w:p>
    <w:p>
      <w:pPr>
        <w:pStyle w:val="ListBullet"/>
        <w:spacing w:after="30"/>
      </w:pPr>
      <w:r>
        <w:rPr>
          <w:rFonts w:ascii="Arial" w:hAnsi="Arial"/>
          <w:b w:val="0"/>
          <w:i w:val="0"/>
          <w:color w:val="232830"/>
          <w:sz w:val="19"/>
        </w:rPr>
        <w:t>Obesity</w:t>
      </w:r>
    </w:p>
    <w:p>
      <w:pPr>
        <w:spacing w:before="180" w:after="60"/>
        <w:pBdr>
          <w:bottom w:val="single" w:sz="6" w:color="C9D4EA" w:space="2"/>
        </w:pBdr>
      </w:pPr>
      <w:r>
        <w:rPr>
          <w:rFonts w:ascii="Arial" w:hAnsi="Arial"/>
          <w:b/>
          <w:i w:val="0"/>
          <w:color w:val="4472C4"/>
          <w:sz w:val="20"/>
        </w:rPr>
        <w:t>PROCEDURAL HISTORY</w:t>
      </w:r>
    </w:p>
    <w:p>
      <w:r>
        <w:rPr>
          <w:rFonts w:ascii="Arial" w:hAnsi="Arial"/>
          <w:b w:val="0"/>
          <w:i w:val="0"/>
          <w:color w:val="232830"/>
          <w:sz w:val="19"/>
        </w:rPr>
        <w:t>No prior foot or vascular surgery. No prior amputation.</w:t>
      </w:r>
    </w:p>
    <w:p>
      <w:pPr>
        <w:spacing w:before="180" w:after="60"/>
        <w:pBdr>
          <w:bottom w:val="single" w:sz="6" w:color="C9D4EA" w:space="2"/>
        </w:pBdr>
      </w:pPr>
      <w:r>
        <w:rPr>
          <w:rFonts w:ascii="Arial" w:hAnsi="Arial"/>
          <w:b/>
          <w:i w:val="0"/>
          <w:color w:val="4472C4"/>
          <w:sz w:val="20"/>
        </w:rPr>
        <w:t>HOME MEDICATIONS (STATUS VERIFIED WITH DAUGHTER AND PHARMACY)</w:t>
      </w:r>
    </w:p>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1728"/>
        <w:gridCol w:w="1728"/>
        <w:gridCol w:w="1728"/>
        <w:gridCol w:w="1728"/>
        <w:gridCol w:w="1728"/>
        <w:gridCol w:w="1728"/>
      </w:tblGrid>
      <w:tr>
        <w:tc>
          <w:tcPr>
            <w:tcW w:type="dxa" w:w="1728"/>
            <w:shd w:val="clear" w:fill="4472C4"/>
          </w:tcPr>
          <w:p>
            <w:r>
              <w:rPr>
                <w:rFonts w:ascii="Arial" w:hAnsi="Arial"/>
                <w:b/>
                <w:i w:val="0"/>
                <w:color w:val="FFFFFF"/>
                <w:sz w:val="16"/>
              </w:rPr>
              <w:t>Medication</w:t>
            </w:r>
          </w:p>
        </w:tc>
        <w:tc>
          <w:tcPr>
            <w:tcW w:type="dxa" w:w="1728"/>
            <w:shd w:val="clear" w:fill="4472C4"/>
          </w:tcPr>
          <w:p>
            <w:r>
              <w:rPr>
                <w:rFonts w:ascii="Arial" w:hAnsi="Arial"/>
                <w:b/>
                <w:i w:val="0"/>
                <w:color w:val="FFFFFF"/>
                <w:sz w:val="16"/>
              </w:rPr>
              <w:t>Dose</w:t>
            </w:r>
          </w:p>
        </w:tc>
        <w:tc>
          <w:tcPr>
            <w:tcW w:type="dxa" w:w="1728"/>
            <w:shd w:val="clear" w:fill="4472C4"/>
          </w:tcPr>
          <w:p>
            <w:r>
              <w:rPr>
                <w:rFonts w:ascii="Arial" w:hAnsi="Arial"/>
                <w:b/>
                <w:i w:val="0"/>
                <w:color w:val="FFFFFF"/>
                <w:sz w:val="16"/>
              </w:rPr>
              <w:t>Route</w:t>
            </w:r>
          </w:p>
        </w:tc>
        <w:tc>
          <w:tcPr>
            <w:tcW w:type="dxa" w:w="1728"/>
            <w:shd w:val="clear" w:fill="4472C4"/>
          </w:tcPr>
          <w:p>
            <w:r>
              <w:rPr>
                <w:rFonts w:ascii="Arial" w:hAnsi="Arial"/>
                <w:b/>
                <w:i w:val="0"/>
                <w:color w:val="FFFFFF"/>
                <w:sz w:val="16"/>
              </w:rPr>
              <w:t>Frequency</w:t>
            </w:r>
          </w:p>
        </w:tc>
        <w:tc>
          <w:tcPr>
            <w:tcW w:type="dxa" w:w="1728"/>
            <w:shd w:val="clear" w:fill="4472C4"/>
          </w:tcPr>
          <w:p>
            <w:r>
              <w:rPr>
                <w:rFonts w:ascii="Arial" w:hAnsi="Arial"/>
                <w:b/>
                <w:i w:val="0"/>
                <w:color w:val="FFFFFF"/>
                <w:sz w:val="16"/>
              </w:rPr>
              <w:t>Indication</w:t>
            </w:r>
          </w:p>
        </w:tc>
        <w:tc>
          <w:tcPr>
            <w:tcW w:type="dxa" w:w="1728"/>
            <w:shd w:val="clear" w:fill="4472C4"/>
          </w:tcPr>
          <w:p>
            <w:r>
              <w:rPr>
                <w:rFonts w:ascii="Arial" w:hAnsi="Arial"/>
                <w:b/>
                <w:i w:val="0"/>
                <w:color w:val="FFFFFF"/>
                <w:sz w:val="16"/>
              </w:rPr>
              <w:t>Inpatient status</w:t>
            </w:r>
          </w:p>
        </w:tc>
      </w:tr>
      <w:tr>
        <w:tc>
          <w:tcPr>
            <w:tcW w:type="dxa" w:w="1728"/>
          </w:tcPr>
          <w:p>
            <w:r>
              <w:rPr>
                <w:rFonts w:ascii="Arial" w:hAnsi="Arial"/>
                <w:b w:val="0"/>
                <w:i w:val="0"/>
                <w:color w:val="232830"/>
                <w:sz w:val="16"/>
              </w:rPr>
              <w:t>Insulin glargine</w:t>
            </w:r>
          </w:p>
        </w:tc>
        <w:tc>
          <w:tcPr>
            <w:tcW w:type="dxa" w:w="1728"/>
          </w:tcPr>
          <w:p>
            <w:r>
              <w:rPr>
                <w:rFonts w:ascii="Arial" w:hAnsi="Arial"/>
                <w:b w:val="0"/>
                <w:i w:val="0"/>
                <w:color w:val="232830"/>
                <w:sz w:val="16"/>
              </w:rPr>
              <w:t>26 units</w:t>
            </w:r>
          </w:p>
        </w:tc>
        <w:tc>
          <w:tcPr>
            <w:tcW w:type="dxa" w:w="1728"/>
          </w:tcPr>
          <w:p>
            <w:r>
              <w:rPr>
                <w:rFonts w:ascii="Arial" w:hAnsi="Arial"/>
                <w:b w:val="0"/>
                <w:i w:val="0"/>
                <w:color w:val="232830"/>
                <w:sz w:val="16"/>
              </w:rPr>
              <w:t>Subcutaneous</w:t>
            </w:r>
          </w:p>
        </w:tc>
        <w:tc>
          <w:tcPr>
            <w:tcW w:type="dxa" w:w="1728"/>
          </w:tcPr>
          <w:p>
            <w:r>
              <w:rPr>
                <w:rFonts w:ascii="Arial" w:hAnsi="Arial"/>
                <w:b w:val="0"/>
                <w:i w:val="0"/>
                <w:color w:val="232830"/>
                <w:sz w:val="16"/>
              </w:rPr>
              <w:t>Nightly</w:t>
            </w:r>
          </w:p>
        </w:tc>
        <w:tc>
          <w:tcPr>
            <w:tcW w:type="dxa" w:w="1728"/>
          </w:tcPr>
          <w:p>
            <w:r>
              <w:rPr>
                <w:rFonts w:ascii="Arial" w:hAnsi="Arial"/>
                <w:b w:val="0"/>
                <w:i w:val="0"/>
                <w:color w:val="232830"/>
                <w:sz w:val="16"/>
              </w:rPr>
              <w:t>T2DM basal</w:t>
            </w:r>
          </w:p>
        </w:tc>
        <w:tc>
          <w:tcPr>
            <w:tcW w:type="dxa" w:w="1728"/>
          </w:tcPr>
          <w:p>
            <w:r>
              <w:rPr>
                <w:rFonts w:ascii="Arial" w:hAnsi="Arial"/>
                <w:b w:val="0"/>
                <w:i w:val="0"/>
                <w:color w:val="232830"/>
                <w:sz w:val="16"/>
              </w:rPr>
              <w:t>Continued, adjusted</w:t>
            </w:r>
          </w:p>
        </w:tc>
      </w:tr>
      <w:tr>
        <w:tc>
          <w:tcPr>
            <w:tcW w:type="dxa" w:w="1728"/>
            <w:shd w:val="clear" w:fill="EDF2FA"/>
          </w:tcPr>
          <w:p>
            <w:r>
              <w:rPr>
                <w:rFonts w:ascii="Arial" w:hAnsi="Arial"/>
                <w:b w:val="0"/>
                <w:i w:val="0"/>
                <w:color w:val="232830"/>
                <w:sz w:val="16"/>
              </w:rPr>
              <w:t>Insulin aspart</w:t>
            </w:r>
          </w:p>
        </w:tc>
        <w:tc>
          <w:tcPr>
            <w:tcW w:type="dxa" w:w="1728"/>
            <w:shd w:val="clear" w:fill="EDF2FA"/>
          </w:tcPr>
          <w:p>
            <w:r>
              <w:rPr>
                <w:rFonts w:ascii="Arial" w:hAnsi="Arial"/>
                <w:b w:val="0"/>
                <w:i w:val="0"/>
                <w:color w:val="232830"/>
                <w:sz w:val="16"/>
              </w:rPr>
              <w:t>Sliding scale</w:t>
            </w:r>
          </w:p>
        </w:tc>
        <w:tc>
          <w:tcPr>
            <w:tcW w:type="dxa" w:w="1728"/>
            <w:shd w:val="clear" w:fill="EDF2FA"/>
          </w:tcPr>
          <w:p>
            <w:r>
              <w:rPr>
                <w:rFonts w:ascii="Arial" w:hAnsi="Arial"/>
                <w:b w:val="0"/>
                <w:i w:val="0"/>
                <w:color w:val="232830"/>
                <w:sz w:val="16"/>
              </w:rPr>
              <w:t>Subcutaneous</w:t>
            </w:r>
          </w:p>
        </w:tc>
        <w:tc>
          <w:tcPr>
            <w:tcW w:type="dxa" w:w="1728"/>
            <w:shd w:val="clear" w:fill="EDF2FA"/>
          </w:tcPr>
          <w:p>
            <w:r>
              <w:rPr>
                <w:rFonts w:ascii="Arial" w:hAnsi="Arial"/>
                <w:b w:val="0"/>
                <w:i w:val="0"/>
                <w:color w:val="232830"/>
                <w:sz w:val="16"/>
              </w:rPr>
              <w:t>Three times daily with meals</w:t>
            </w:r>
          </w:p>
        </w:tc>
        <w:tc>
          <w:tcPr>
            <w:tcW w:type="dxa" w:w="1728"/>
            <w:shd w:val="clear" w:fill="EDF2FA"/>
          </w:tcPr>
          <w:p>
            <w:r>
              <w:rPr>
                <w:rFonts w:ascii="Arial" w:hAnsi="Arial"/>
                <w:b w:val="0"/>
                <w:i w:val="0"/>
                <w:color w:val="232830"/>
                <w:sz w:val="16"/>
              </w:rPr>
              <w:t>T2DM prandial</w:t>
            </w:r>
          </w:p>
        </w:tc>
        <w:tc>
          <w:tcPr>
            <w:tcW w:type="dxa" w:w="1728"/>
            <w:shd w:val="clear" w:fill="EDF2FA"/>
          </w:tcPr>
          <w:p>
            <w:r>
              <w:rPr>
                <w:rFonts w:ascii="Arial" w:hAnsi="Arial"/>
                <w:b w:val="0"/>
                <w:i w:val="0"/>
                <w:color w:val="232830"/>
                <w:sz w:val="16"/>
              </w:rPr>
              <w:t>Continued per protocol</w:t>
            </w:r>
          </w:p>
        </w:tc>
      </w:tr>
      <w:tr>
        <w:tc>
          <w:tcPr>
            <w:tcW w:type="dxa" w:w="1728"/>
          </w:tcPr>
          <w:p>
            <w:r>
              <w:rPr>
                <w:rFonts w:ascii="Arial" w:hAnsi="Arial"/>
                <w:b w:val="0"/>
                <w:i w:val="0"/>
                <w:color w:val="232830"/>
                <w:sz w:val="16"/>
              </w:rPr>
              <w:t>Metformin</w:t>
            </w:r>
          </w:p>
        </w:tc>
        <w:tc>
          <w:tcPr>
            <w:tcW w:type="dxa" w:w="1728"/>
          </w:tcPr>
          <w:p>
            <w:r>
              <w:rPr>
                <w:rFonts w:ascii="Arial" w:hAnsi="Arial"/>
                <w:b w:val="0"/>
                <w:i w:val="0"/>
                <w:color w:val="232830"/>
                <w:sz w:val="16"/>
              </w:rPr>
              <w:t>500 mg</w:t>
            </w:r>
          </w:p>
        </w:tc>
        <w:tc>
          <w:tcPr>
            <w:tcW w:type="dxa" w:w="1728"/>
          </w:tcPr>
          <w:p>
            <w:r>
              <w:rPr>
                <w:rFonts w:ascii="Arial" w:hAnsi="Arial"/>
                <w:b w:val="0"/>
                <w:i w:val="0"/>
                <w:color w:val="232830"/>
                <w:sz w:val="16"/>
              </w:rPr>
              <w:t>Oral</w:t>
            </w:r>
          </w:p>
        </w:tc>
        <w:tc>
          <w:tcPr>
            <w:tcW w:type="dxa" w:w="1728"/>
          </w:tcPr>
          <w:p>
            <w:r>
              <w:rPr>
                <w:rFonts w:ascii="Arial" w:hAnsi="Arial"/>
                <w:b w:val="0"/>
                <w:i w:val="0"/>
                <w:color w:val="232830"/>
                <w:sz w:val="16"/>
              </w:rPr>
              <w:t>Twice daily</w:t>
            </w:r>
          </w:p>
        </w:tc>
        <w:tc>
          <w:tcPr>
            <w:tcW w:type="dxa" w:w="1728"/>
          </w:tcPr>
          <w:p>
            <w:r>
              <w:rPr>
                <w:rFonts w:ascii="Arial" w:hAnsi="Arial"/>
                <w:b w:val="0"/>
                <w:i w:val="0"/>
                <w:color w:val="232830"/>
                <w:sz w:val="16"/>
              </w:rPr>
              <w:t>T2DM</w:t>
            </w:r>
          </w:p>
        </w:tc>
        <w:tc>
          <w:tcPr>
            <w:tcW w:type="dxa" w:w="1728"/>
          </w:tcPr>
          <w:p>
            <w:r>
              <w:rPr>
                <w:rFonts w:ascii="Arial" w:hAnsi="Arial"/>
                <w:b w:val="0"/>
                <w:i w:val="0"/>
                <w:color w:val="232830"/>
                <w:sz w:val="16"/>
              </w:rPr>
              <w:t>Held on admission</w:t>
            </w:r>
          </w:p>
        </w:tc>
      </w:tr>
      <w:tr>
        <w:tc>
          <w:tcPr>
            <w:tcW w:type="dxa" w:w="1728"/>
            <w:shd w:val="clear" w:fill="EDF2FA"/>
          </w:tcPr>
          <w:p>
            <w:r>
              <w:rPr>
                <w:rFonts w:ascii="Arial" w:hAnsi="Arial"/>
                <w:b w:val="0"/>
                <w:i w:val="0"/>
                <w:color w:val="232830"/>
                <w:sz w:val="16"/>
              </w:rPr>
              <w:t>Empagliflozin</w:t>
            </w:r>
          </w:p>
        </w:tc>
        <w:tc>
          <w:tcPr>
            <w:tcW w:type="dxa" w:w="1728"/>
            <w:shd w:val="clear" w:fill="EDF2FA"/>
          </w:tcPr>
          <w:p>
            <w:r>
              <w:rPr>
                <w:rFonts w:ascii="Arial" w:hAnsi="Arial"/>
                <w:b w:val="0"/>
                <w:i w:val="0"/>
                <w:color w:val="232830"/>
                <w:sz w:val="16"/>
              </w:rPr>
              <w:t>10 mg</w:t>
            </w:r>
          </w:p>
        </w:tc>
        <w:tc>
          <w:tcPr>
            <w:tcW w:type="dxa" w:w="1728"/>
            <w:shd w:val="clear" w:fill="EDF2FA"/>
          </w:tcPr>
          <w:p>
            <w:r>
              <w:rPr>
                <w:rFonts w:ascii="Arial" w:hAnsi="Arial"/>
                <w:b w:val="0"/>
                <w:i w:val="0"/>
                <w:color w:val="232830"/>
                <w:sz w:val="16"/>
              </w:rPr>
              <w:t>Oral</w:t>
            </w:r>
          </w:p>
        </w:tc>
        <w:tc>
          <w:tcPr>
            <w:tcW w:type="dxa" w:w="1728"/>
            <w:shd w:val="clear" w:fill="EDF2FA"/>
          </w:tcPr>
          <w:p>
            <w:r>
              <w:rPr>
                <w:rFonts w:ascii="Arial" w:hAnsi="Arial"/>
                <w:b w:val="0"/>
                <w:i w:val="0"/>
                <w:color w:val="232830"/>
                <w:sz w:val="16"/>
              </w:rPr>
              <w:t>Daily</w:t>
            </w:r>
          </w:p>
        </w:tc>
        <w:tc>
          <w:tcPr>
            <w:tcW w:type="dxa" w:w="1728"/>
            <w:shd w:val="clear" w:fill="EDF2FA"/>
          </w:tcPr>
          <w:p>
            <w:r>
              <w:rPr>
                <w:rFonts w:ascii="Arial" w:hAnsi="Arial"/>
                <w:b w:val="0"/>
                <w:i w:val="0"/>
                <w:color w:val="232830"/>
                <w:sz w:val="16"/>
              </w:rPr>
              <w:t>T2DM, HFpEF, CKD</w:t>
            </w:r>
          </w:p>
        </w:tc>
        <w:tc>
          <w:tcPr>
            <w:tcW w:type="dxa" w:w="1728"/>
            <w:shd w:val="clear" w:fill="EDF2FA"/>
          </w:tcPr>
          <w:p>
            <w:r>
              <w:rPr>
                <w:rFonts w:ascii="Arial" w:hAnsi="Arial"/>
                <w:b w:val="0"/>
                <w:i w:val="0"/>
                <w:color w:val="232830"/>
                <w:sz w:val="16"/>
              </w:rPr>
              <w:t>Held</w:t>
            </w:r>
          </w:p>
        </w:tc>
      </w:tr>
      <w:tr>
        <w:tc>
          <w:tcPr>
            <w:tcW w:type="dxa" w:w="1728"/>
          </w:tcPr>
          <w:p>
            <w:r>
              <w:rPr>
                <w:rFonts w:ascii="Arial" w:hAnsi="Arial"/>
                <w:b w:val="0"/>
                <w:i w:val="0"/>
                <w:color w:val="232830"/>
                <w:sz w:val="16"/>
              </w:rPr>
              <w:t>Lisinopril</w:t>
            </w:r>
          </w:p>
        </w:tc>
        <w:tc>
          <w:tcPr>
            <w:tcW w:type="dxa" w:w="1728"/>
          </w:tcPr>
          <w:p>
            <w:r>
              <w:rPr>
                <w:rFonts w:ascii="Arial" w:hAnsi="Arial"/>
                <w:b w:val="0"/>
                <w:i w:val="0"/>
                <w:color w:val="232830"/>
                <w:sz w:val="16"/>
              </w:rPr>
              <w:t>20 mg</w:t>
            </w:r>
          </w:p>
        </w:tc>
        <w:tc>
          <w:tcPr>
            <w:tcW w:type="dxa" w:w="1728"/>
          </w:tcPr>
          <w:p>
            <w:r>
              <w:rPr>
                <w:rFonts w:ascii="Arial" w:hAnsi="Arial"/>
                <w:b w:val="0"/>
                <w:i w:val="0"/>
                <w:color w:val="232830"/>
                <w:sz w:val="16"/>
              </w:rPr>
              <w:t>Oral</w:t>
            </w:r>
          </w:p>
        </w:tc>
        <w:tc>
          <w:tcPr>
            <w:tcW w:type="dxa" w:w="1728"/>
          </w:tcPr>
          <w:p>
            <w:r>
              <w:rPr>
                <w:rFonts w:ascii="Arial" w:hAnsi="Arial"/>
                <w:b w:val="0"/>
                <w:i w:val="0"/>
                <w:color w:val="232830"/>
                <w:sz w:val="16"/>
              </w:rPr>
              <w:t>Daily</w:t>
            </w:r>
          </w:p>
        </w:tc>
        <w:tc>
          <w:tcPr>
            <w:tcW w:type="dxa" w:w="1728"/>
          </w:tcPr>
          <w:p>
            <w:r>
              <w:rPr>
                <w:rFonts w:ascii="Arial" w:hAnsi="Arial"/>
                <w:b w:val="0"/>
                <w:i w:val="0"/>
                <w:color w:val="232830"/>
                <w:sz w:val="16"/>
              </w:rPr>
              <w:t>Hypertension, CKD</w:t>
            </w:r>
          </w:p>
        </w:tc>
        <w:tc>
          <w:tcPr>
            <w:tcW w:type="dxa" w:w="1728"/>
          </w:tcPr>
          <w:p>
            <w:r>
              <w:rPr>
                <w:rFonts w:ascii="Arial" w:hAnsi="Arial"/>
                <w:b w:val="0"/>
                <w:i w:val="0"/>
                <w:color w:val="232830"/>
                <w:sz w:val="16"/>
              </w:rPr>
              <w:t>Held</w:t>
            </w:r>
          </w:p>
        </w:tc>
      </w:tr>
      <w:tr>
        <w:tc>
          <w:tcPr>
            <w:tcW w:type="dxa" w:w="1728"/>
            <w:shd w:val="clear" w:fill="EDF2FA"/>
          </w:tcPr>
          <w:p>
            <w:r>
              <w:rPr>
                <w:rFonts w:ascii="Arial" w:hAnsi="Arial"/>
                <w:b w:val="0"/>
                <w:i w:val="0"/>
                <w:color w:val="232830"/>
                <w:sz w:val="16"/>
              </w:rPr>
              <w:t>Furosemide</w:t>
            </w:r>
          </w:p>
        </w:tc>
        <w:tc>
          <w:tcPr>
            <w:tcW w:type="dxa" w:w="1728"/>
            <w:shd w:val="clear" w:fill="EDF2FA"/>
          </w:tcPr>
          <w:p>
            <w:r>
              <w:rPr>
                <w:rFonts w:ascii="Arial" w:hAnsi="Arial"/>
                <w:b w:val="0"/>
                <w:i w:val="0"/>
                <w:color w:val="232830"/>
                <w:sz w:val="16"/>
              </w:rPr>
              <w:t>20 mg</w:t>
            </w:r>
          </w:p>
        </w:tc>
        <w:tc>
          <w:tcPr>
            <w:tcW w:type="dxa" w:w="1728"/>
            <w:shd w:val="clear" w:fill="EDF2FA"/>
          </w:tcPr>
          <w:p>
            <w:r>
              <w:rPr>
                <w:rFonts w:ascii="Arial" w:hAnsi="Arial"/>
                <w:b w:val="0"/>
                <w:i w:val="0"/>
                <w:color w:val="232830"/>
                <w:sz w:val="16"/>
              </w:rPr>
              <w:t>Oral</w:t>
            </w:r>
          </w:p>
        </w:tc>
        <w:tc>
          <w:tcPr>
            <w:tcW w:type="dxa" w:w="1728"/>
            <w:shd w:val="clear" w:fill="EDF2FA"/>
          </w:tcPr>
          <w:p>
            <w:r>
              <w:rPr>
                <w:rFonts w:ascii="Arial" w:hAnsi="Arial"/>
                <w:b w:val="0"/>
                <w:i w:val="0"/>
                <w:color w:val="232830"/>
                <w:sz w:val="16"/>
              </w:rPr>
              <w:t>Daily</w:t>
            </w:r>
          </w:p>
        </w:tc>
        <w:tc>
          <w:tcPr>
            <w:tcW w:type="dxa" w:w="1728"/>
            <w:shd w:val="clear" w:fill="EDF2FA"/>
          </w:tcPr>
          <w:p>
            <w:r>
              <w:rPr>
                <w:rFonts w:ascii="Arial" w:hAnsi="Arial"/>
                <w:b w:val="0"/>
                <w:i w:val="0"/>
                <w:color w:val="232830"/>
                <w:sz w:val="16"/>
              </w:rPr>
              <w:t>HFpEF volume</w:t>
            </w:r>
          </w:p>
        </w:tc>
        <w:tc>
          <w:tcPr>
            <w:tcW w:type="dxa" w:w="1728"/>
            <w:shd w:val="clear" w:fill="EDF2FA"/>
          </w:tcPr>
          <w:p>
            <w:r>
              <w:rPr>
                <w:rFonts w:ascii="Arial" w:hAnsi="Arial"/>
                <w:b w:val="0"/>
                <w:i w:val="0"/>
                <w:color w:val="232830"/>
                <w:sz w:val="16"/>
              </w:rPr>
              <w:t>Continued</w:t>
            </w:r>
          </w:p>
        </w:tc>
      </w:tr>
      <w:tr>
        <w:tc>
          <w:tcPr>
            <w:tcW w:type="dxa" w:w="1728"/>
          </w:tcPr>
          <w:p>
            <w:r>
              <w:rPr>
                <w:rFonts w:ascii="Arial" w:hAnsi="Arial"/>
                <w:b w:val="0"/>
                <w:i w:val="0"/>
                <w:color w:val="232830"/>
                <w:sz w:val="16"/>
              </w:rPr>
              <w:t>Atorvastatin</w:t>
            </w:r>
          </w:p>
        </w:tc>
        <w:tc>
          <w:tcPr>
            <w:tcW w:type="dxa" w:w="1728"/>
          </w:tcPr>
          <w:p>
            <w:r>
              <w:rPr>
                <w:rFonts w:ascii="Arial" w:hAnsi="Arial"/>
                <w:b w:val="0"/>
                <w:i w:val="0"/>
                <w:color w:val="232830"/>
                <w:sz w:val="16"/>
              </w:rPr>
              <w:t>40 mg</w:t>
            </w:r>
          </w:p>
        </w:tc>
        <w:tc>
          <w:tcPr>
            <w:tcW w:type="dxa" w:w="1728"/>
          </w:tcPr>
          <w:p>
            <w:r>
              <w:rPr>
                <w:rFonts w:ascii="Arial" w:hAnsi="Arial"/>
                <w:b w:val="0"/>
                <w:i w:val="0"/>
                <w:color w:val="232830"/>
                <w:sz w:val="16"/>
              </w:rPr>
              <w:t>Oral</w:t>
            </w:r>
          </w:p>
        </w:tc>
        <w:tc>
          <w:tcPr>
            <w:tcW w:type="dxa" w:w="1728"/>
          </w:tcPr>
          <w:p>
            <w:r>
              <w:rPr>
                <w:rFonts w:ascii="Arial" w:hAnsi="Arial"/>
                <w:b w:val="0"/>
                <w:i w:val="0"/>
                <w:color w:val="232830"/>
                <w:sz w:val="16"/>
              </w:rPr>
              <w:t>Nightly</w:t>
            </w:r>
          </w:p>
        </w:tc>
        <w:tc>
          <w:tcPr>
            <w:tcW w:type="dxa" w:w="1728"/>
          </w:tcPr>
          <w:p>
            <w:r>
              <w:rPr>
                <w:rFonts w:ascii="Arial" w:hAnsi="Arial"/>
                <w:b w:val="0"/>
                <w:i w:val="0"/>
                <w:color w:val="232830"/>
                <w:sz w:val="16"/>
              </w:rPr>
              <w:t>ASCVD, PAD</w:t>
            </w:r>
          </w:p>
        </w:tc>
        <w:tc>
          <w:tcPr>
            <w:tcW w:type="dxa" w:w="1728"/>
          </w:tcPr>
          <w:p>
            <w:r>
              <w:rPr>
                <w:rFonts w:ascii="Arial" w:hAnsi="Arial"/>
                <w:b w:val="0"/>
                <w:i w:val="0"/>
                <w:color w:val="232830"/>
                <w:sz w:val="16"/>
              </w:rPr>
              <w:t>Continued</w:t>
            </w:r>
          </w:p>
        </w:tc>
      </w:tr>
      <w:tr>
        <w:tc>
          <w:tcPr>
            <w:tcW w:type="dxa" w:w="1728"/>
            <w:shd w:val="clear" w:fill="EDF2FA"/>
          </w:tcPr>
          <w:p>
            <w:r>
              <w:rPr>
                <w:rFonts w:ascii="Arial" w:hAnsi="Arial"/>
                <w:b w:val="0"/>
                <w:i w:val="0"/>
                <w:color w:val="232830"/>
                <w:sz w:val="16"/>
              </w:rPr>
              <w:t>Aspirin</w:t>
            </w:r>
          </w:p>
        </w:tc>
        <w:tc>
          <w:tcPr>
            <w:tcW w:type="dxa" w:w="1728"/>
            <w:shd w:val="clear" w:fill="EDF2FA"/>
          </w:tcPr>
          <w:p>
            <w:r>
              <w:rPr>
                <w:rFonts w:ascii="Arial" w:hAnsi="Arial"/>
                <w:b w:val="0"/>
                <w:i w:val="0"/>
                <w:color w:val="232830"/>
                <w:sz w:val="16"/>
              </w:rPr>
              <w:t>81 mg</w:t>
            </w:r>
          </w:p>
        </w:tc>
        <w:tc>
          <w:tcPr>
            <w:tcW w:type="dxa" w:w="1728"/>
            <w:shd w:val="clear" w:fill="EDF2FA"/>
          </w:tcPr>
          <w:p>
            <w:r>
              <w:rPr>
                <w:rFonts w:ascii="Arial" w:hAnsi="Arial"/>
                <w:b w:val="0"/>
                <w:i w:val="0"/>
                <w:color w:val="232830"/>
                <w:sz w:val="16"/>
              </w:rPr>
              <w:t>Oral</w:t>
            </w:r>
          </w:p>
        </w:tc>
        <w:tc>
          <w:tcPr>
            <w:tcW w:type="dxa" w:w="1728"/>
            <w:shd w:val="clear" w:fill="EDF2FA"/>
          </w:tcPr>
          <w:p>
            <w:r>
              <w:rPr>
                <w:rFonts w:ascii="Arial" w:hAnsi="Arial"/>
                <w:b w:val="0"/>
                <w:i w:val="0"/>
                <w:color w:val="232830"/>
                <w:sz w:val="16"/>
              </w:rPr>
              <w:t>Daily</w:t>
            </w:r>
          </w:p>
        </w:tc>
        <w:tc>
          <w:tcPr>
            <w:tcW w:type="dxa" w:w="1728"/>
            <w:shd w:val="clear" w:fill="EDF2FA"/>
          </w:tcPr>
          <w:p>
            <w:r>
              <w:rPr>
                <w:rFonts w:ascii="Arial" w:hAnsi="Arial"/>
                <w:b w:val="0"/>
                <w:i w:val="0"/>
                <w:color w:val="232830"/>
                <w:sz w:val="16"/>
              </w:rPr>
              <w:t>PAD</w:t>
            </w:r>
          </w:p>
        </w:tc>
        <w:tc>
          <w:tcPr>
            <w:tcW w:type="dxa" w:w="1728"/>
            <w:shd w:val="clear" w:fill="EDF2FA"/>
          </w:tcPr>
          <w:p>
            <w:r>
              <w:rPr>
                <w:rFonts w:ascii="Arial" w:hAnsi="Arial"/>
                <w:b w:val="0"/>
                <w:i w:val="0"/>
                <w:color w:val="232830"/>
                <w:sz w:val="16"/>
              </w:rPr>
              <w:t>Continued</w:t>
            </w:r>
          </w:p>
        </w:tc>
      </w:tr>
      <w:tr>
        <w:tc>
          <w:tcPr>
            <w:tcW w:type="dxa" w:w="1728"/>
          </w:tcPr>
          <w:p>
            <w:r>
              <w:rPr>
                <w:rFonts w:ascii="Arial" w:hAnsi="Arial"/>
                <w:b w:val="0"/>
                <w:i w:val="0"/>
                <w:color w:val="232830"/>
                <w:sz w:val="16"/>
              </w:rPr>
              <w:t>Clopidogrel</w:t>
            </w:r>
          </w:p>
        </w:tc>
        <w:tc>
          <w:tcPr>
            <w:tcW w:type="dxa" w:w="1728"/>
          </w:tcPr>
          <w:p>
            <w:r>
              <w:rPr>
                <w:rFonts w:ascii="Arial" w:hAnsi="Arial"/>
                <w:b w:val="0"/>
                <w:i w:val="0"/>
                <w:color w:val="232830"/>
                <w:sz w:val="16"/>
              </w:rPr>
              <w:t>75 mg</w:t>
            </w:r>
          </w:p>
        </w:tc>
        <w:tc>
          <w:tcPr>
            <w:tcW w:type="dxa" w:w="1728"/>
          </w:tcPr>
          <w:p>
            <w:r>
              <w:rPr>
                <w:rFonts w:ascii="Arial" w:hAnsi="Arial"/>
                <w:b w:val="0"/>
                <w:i w:val="0"/>
                <w:color w:val="232830"/>
                <w:sz w:val="16"/>
              </w:rPr>
              <w:t>Oral</w:t>
            </w:r>
          </w:p>
        </w:tc>
        <w:tc>
          <w:tcPr>
            <w:tcW w:type="dxa" w:w="1728"/>
          </w:tcPr>
          <w:p>
            <w:r>
              <w:rPr>
                <w:rFonts w:ascii="Arial" w:hAnsi="Arial"/>
                <w:b w:val="0"/>
                <w:i w:val="0"/>
                <w:color w:val="232830"/>
                <w:sz w:val="16"/>
              </w:rPr>
              <w:t>Daily</w:t>
            </w:r>
          </w:p>
        </w:tc>
        <w:tc>
          <w:tcPr>
            <w:tcW w:type="dxa" w:w="1728"/>
          </w:tcPr>
          <w:p>
            <w:r>
              <w:rPr>
                <w:rFonts w:ascii="Arial" w:hAnsi="Arial"/>
                <w:b w:val="0"/>
                <w:i w:val="0"/>
                <w:color w:val="232830"/>
                <w:sz w:val="16"/>
              </w:rPr>
              <w:t>PAD</w:t>
            </w:r>
          </w:p>
        </w:tc>
        <w:tc>
          <w:tcPr>
            <w:tcW w:type="dxa" w:w="1728"/>
          </w:tcPr>
          <w:p>
            <w:r>
              <w:rPr>
                <w:rFonts w:ascii="Arial" w:hAnsi="Arial"/>
                <w:b w:val="0"/>
                <w:i w:val="0"/>
                <w:color w:val="232830"/>
                <w:sz w:val="16"/>
              </w:rPr>
              <w:t>Continued</w:t>
            </w:r>
          </w:p>
        </w:tc>
      </w:tr>
      <w:tr>
        <w:tc>
          <w:tcPr>
            <w:tcW w:type="dxa" w:w="1728"/>
            <w:shd w:val="clear" w:fill="EDF2FA"/>
          </w:tcPr>
          <w:p>
            <w:r>
              <w:rPr>
                <w:rFonts w:ascii="Arial" w:hAnsi="Arial"/>
                <w:b w:val="0"/>
                <w:i w:val="0"/>
                <w:color w:val="232830"/>
                <w:sz w:val="16"/>
              </w:rPr>
              <w:t>Gabapentin</w:t>
            </w:r>
          </w:p>
        </w:tc>
        <w:tc>
          <w:tcPr>
            <w:tcW w:type="dxa" w:w="1728"/>
            <w:shd w:val="clear" w:fill="EDF2FA"/>
          </w:tcPr>
          <w:p>
            <w:r>
              <w:rPr>
                <w:rFonts w:ascii="Arial" w:hAnsi="Arial"/>
                <w:b w:val="0"/>
                <w:i w:val="0"/>
                <w:color w:val="232830"/>
                <w:sz w:val="16"/>
              </w:rPr>
              <w:t>300 mg</w:t>
            </w:r>
          </w:p>
        </w:tc>
        <w:tc>
          <w:tcPr>
            <w:tcW w:type="dxa" w:w="1728"/>
            <w:shd w:val="clear" w:fill="EDF2FA"/>
          </w:tcPr>
          <w:p>
            <w:r>
              <w:rPr>
                <w:rFonts w:ascii="Arial" w:hAnsi="Arial"/>
                <w:b w:val="0"/>
                <w:i w:val="0"/>
                <w:color w:val="232830"/>
                <w:sz w:val="16"/>
              </w:rPr>
              <w:t>Oral</w:t>
            </w:r>
          </w:p>
        </w:tc>
        <w:tc>
          <w:tcPr>
            <w:tcW w:type="dxa" w:w="1728"/>
            <w:shd w:val="clear" w:fill="EDF2FA"/>
          </w:tcPr>
          <w:p>
            <w:r>
              <w:rPr>
                <w:rFonts w:ascii="Arial" w:hAnsi="Arial"/>
                <w:b w:val="0"/>
                <w:i w:val="0"/>
                <w:color w:val="232830"/>
                <w:sz w:val="16"/>
              </w:rPr>
              <w:t>Three times daily</w:t>
            </w:r>
          </w:p>
        </w:tc>
        <w:tc>
          <w:tcPr>
            <w:tcW w:type="dxa" w:w="1728"/>
            <w:shd w:val="clear" w:fill="EDF2FA"/>
          </w:tcPr>
          <w:p>
            <w:r>
              <w:rPr>
                <w:rFonts w:ascii="Arial" w:hAnsi="Arial"/>
                <w:b w:val="0"/>
                <w:i w:val="0"/>
                <w:color w:val="232830"/>
                <w:sz w:val="16"/>
              </w:rPr>
              <w:t>Neuropathy</w:t>
            </w:r>
          </w:p>
        </w:tc>
        <w:tc>
          <w:tcPr>
            <w:tcW w:type="dxa" w:w="1728"/>
            <w:shd w:val="clear" w:fill="EDF2FA"/>
          </w:tcPr>
          <w:p>
            <w:r>
              <w:rPr>
                <w:rFonts w:ascii="Arial" w:hAnsi="Arial"/>
                <w:b w:val="0"/>
                <w:i w:val="0"/>
                <w:color w:val="232830"/>
                <w:sz w:val="16"/>
              </w:rPr>
              <w:t>Continued, renally checked</w:t>
            </w:r>
          </w:p>
        </w:tc>
      </w:tr>
      <w:tr>
        <w:tc>
          <w:tcPr>
            <w:tcW w:type="dxa" w:w="1728"/>
          </w:tcPr>
          <w:p>
            <w:r>
              <w:rPr>
                <w:rFonts w:ascii="Arial" w:hAnsi="Arial"/>
                <w:b w:val="0"/>
                <w:i w:val="0"/>
                <w:color w:val="232830"/>
                <w:sz w:val="16"/>
              </w:rPr>
              <w:t>Ferrous sulfate</w:t>
            </w:r>
          </w:p>
        </w:tc>
        <w:tc>
          <w:tcPr>
            <w:tcW w:type="dxa" w:w="1728"/>
          </w:tcPr>
          <w:p>
            <w:r>
              <w:rPr>
                <w:rFonts w:ascii="Arial" w:hAnsi="Arial"/>
                <w:b w:val="0"/>
                <w:i w:val="0"/>
                <w:color w:val="232830"/>
                <w:sz w:val="16"/>
              </w:rPr>
              <w:t>325 mg</w:t>
            </w:r>
          </w:p>
        </w:tc>
        <w:tc>
          <w:tcPr>
            <w:tcW w:type="dxa" w:w="1728"/>
          </w:tcPr>
          <w:p>
            <w:r>
              <w:rPr>
                <w:rFonts w:ascii="Arial" w:hAnsi="Arial"/>
                <w:b w:val="0"/>
                <w:i w:val="0"/>
                <w:color w:val="232830"/>
                <w:sz w:val="16"/>
              </w:rPr>
              <w:t>Oral</w:t>
            </w:r>
          </w:p>
        </w:tc>
        <w:tc>
          <w:tcPr>
            <w:tcW w:type="dxa" w:w="1728"/>
          </w:tcPr>
          <w:p>
            <w:r>
              <w:rPr>
                <w:rFonts w:ascii="Arial" w:hAnsi="Arial"/>
                <w:b w:val="0"/>
                <w:i w:val="0"/>
                <w:color w:val="232830"/>
                <w:sz w:val="16"/>
              </w:rPr>
              <w:t>Daily</w:t>
            </w:r>
          </w:p>
        </w:tc>
        <w:tc>
          <w:tcPr>
            <w:tcW w:type="dxa" w:w="1728"/>
          </w:tcPr>
          <w:p>
            <w:r>
              <w:rPr>
                <w:rFonts w:ascii="Arial" w:hAnsi="Arial"/>
                <w:b w:val="0"/>
                <w:i w:val="0"/>
                <w:color w:val="232830"/>
                <w:sz w:val="16"/>
              </w:rPr>
              <w:t>Anemia of CKD</w:t>
            </w:r>
          </w:p>
        </w:tc>
        <w:tc>
          <w:tcPr>
            <w:tcW w:type="dxa" w:w="1728"/>
          </w:tcPr>
          <w:p>
            <w:r>
              <w:rPr>
                <w:rFonts w:ascii="Arial" w:hAnsi="Arial"/>
                <w:b w:val="0"/>
                <w:i w:val="0"/>
                <w:color w:val="232830"/>
                <w:sz w:val="16"/>
              </w:rPr>
              <w:t>Continued</w:t>
            </w:r>
          </w:p>
        </w:tc>
      </w:tr>
      <w:tr>
        <w:tc>
          <w:tcPr>
            <w:tcW w:type="dxa" w:w="1728"/>
            <w:shd w:val="clear" w:fill="EDF2FA"/>
          </w:tcPr>
          <w:p>
            <w:r>
              <w:rPr>
                <w:rFonts w:ascii="Arial" w:hAnsi="Arial"/>
                <w:b w:val="0"/>
                <w:i w:val="0"/>
                <w:color w:val="232830"/>
                <w:sz w:val="16"/>
              </w:rPr>
              <w:t>Cholecalciferol</w:t>
            </w:r>
          </w:p>
        </w:tc>
        <w:tc>
          <w:tcPr>
            <w:tcW w:type="dxa" w:w="1728"/>
            <w:shd w:val="clear" w:fill="EDF2FA"/>
          </w:tcPr>
          <w:p>
            <w:r>
              <w:rPr>
                <w:rFonts w:ascii="Arial" w:hAnsi="Arial"/>
                <w:b w:val="0"/>
                <w:i w:val="0"/>
                <w:color w:val="232830"/>
                <w:sz w:val="16"/>
              </w:rPr>
              <w:t>2000 units</w:t>
            </w:r>
          </w:p>
        </w:tc>
        <w:tc>
          <w:tcPr>
            <w:tcW w:type="dxa" w:w="1728"/>
            <w:shd w:val="clear" w:fill="EDF2FA"/>
          </w:tcPr>
          <w:p>
            <w:r>
              <w:rPr>
                <w:rFonts w:ascii="Arial" w:hAnsi="Arial"/>
                <w:b w:val="0"/>
                <w:i w:val="0"/>
                <w:color w:val="232830"/>
                <w:sz w:val="16"/>
              </w:rPr>
              <w:t>Oral</w:t>
            </w:r>
          </w:p>
        </w:tc>
        <w:tc>
          <w:tcPr>
            <w:tcW w:type="dxa" w:w="1728"/>
            <w:shd w:val="clear" w:fill="EDF2FA"/>
          </w:tcPr>
          <w:p>
            <w:r>
              <w:rPr>
                <w:rFonts w:ascii="Arial" w:hAnsi="Arial"/>
                <w:b w:val="0"/>
                <w:i w:val="0"/>
                <w:color w:val="232830"/>
                <w:sz w:val="16"/>
              </w:rPr>
              <w:t>Daily</w:t>
            </w:r>
          </w:p>
        </w:tc>
        <w:tc>
          <w:tcPr>
            <w:tcW w:type="dxa" w:w="1728"/>
            <w:shd w:val="clear" w:fill="EDF2FA"/>
          </w:tcPr>
          <w:p>
            <w:r>
              <w:rPr>
                <w:rFonts w:ascii="Arial" w:hAnsi="Arial"/>
                <w:b w:val="0"/>
                <w:i w:val="0"/>
                <w:color w:val="232830"/>
                <w:sz w:val="16"/>
              </w:rPr>
              <w:t>CKD mineral-bone</w:t>
            </w:r>
          </w:p>
        </w:tc>
        <w:tc>
          <w:tcPr>
            <w:tcW w:type="dxa" w:w="1728"/>
            <w:shd w:val="clear" w:fill="EDF2FA"/>
          </w:tcPr>
          <w:p>
            <w:r>
              <w:rPr>
                <w:rFonts w:ascii="Arial" w:hAnsi="Arial"/>
                <w:b w:val="0"/>
                <w:i w:val="0"/>
                <w:color w:val="232830"/>
                <w:sz w:val="16"/>
              </w:rPr>
              <w:t>Continued</w:t>
            </w:r>
          </w:p>
        </w:tc>
      </w:tr>
      <w:tr>
        <w:tc>
          <w:tcPr>
            <w:tcW w:type="dxa" w:w="1728"/>
          </w:tcPr>
          <w:p>
            <w:r>
              <w:rPr>
                <w:rFonts w:ascii="Arial" w:hAnsi="Arial"/>
                <w:b w:val="0"/>
                <w:i w:val="0"/>
                <w:color w:val="232830"/>
                <w:sz w:val="16"/>
              </w:rPr>
              <w:t>Pantoprazole</w:t>
            </w:r>
          </w:p>
        </w:tc>
        <w:tc>
          <w:tcPr>
            <w:tcW w:type="dxa" w:w="1728"/>
          </w:tcPr>
          <w:p>
            <w:r>
              <w:rPr>
                <w:rFonts w:ascii="Arial" w:hAnsi="Arial"/>
                <w:b w:val="0"/>
                <w:i w:val="0"/>
                <w:color w:val="232830"/>
                <w:sz w:val="16"/>
              </w:rPr>
              <w:t>40 mg</w:t>
            </w:r>
          </w:p>
        </w:tc>
        <w:tc>
          <w:tcPr>
            <w:tcW w:type="dxa" w:w="1728"/>
          </w:tcPr>
          <w:p>
            <w:r>
              <w:rPr>
                <w:rFonts w:ascii="Arial" w:hAnsi="Arial"/>
                <w:b w:val="0"/>
                <w:i w:val="0"/>
                <w:color w:val="232830"/>
                <w:sz w:val="16"/>
              </w:rPr>
              <w:t>Oral</w:t>
            </w:r>
          </w:p>
        </w:tc>
        <w:tc>
          <w:tcPr>
            <w:tcW w:type="dxa" w:w="1728"/>
          </w:tcPr>
          <w:p>
            <w:r>
              <w:rPr>
                <w:rFonts w:ascii="Arial" w:hAnsi="Arial"/>
                <w:b w:val="0"/>
                <w:i w:val="0"/>
                <w:color w:val="232830"/>
                <w:sz w:val="16"/>
              </w:rPr>
              <w:t>Daily</w:t>
            </w:r>
          </w:p>
        </w:tc>
        <w:tc>
          <w:tcPr>
            <w:tcW w:type="dxa" w:w="1728"/>
          </w:tcPr>
          <w:p>
            <w:r>
              <w:rPr>
                <w:rFonts w:ascii="Arial" w:hAnsi="Arial"/>
                <w:b w:val="0"/>
                <w:i w:val="0"/>
                <w:color w:val="232830"/>
                <w:sz w:val="16"/>
              </w:rPr>
              <w:t>GERD</w:t>
            </w:r>
          </w:p>
        </w:tc>
        <w:tc>
          <w:tcPr>
            <w:tcW w:type="dxa" w:w="1728"/>
          </w:tcPr>
          <w:p>
            <w:r>
              <w:rPr>
                <w:rFonts w:ascii="Arial" w:hAnsi="Arial"/>
                <w:b w:val="0"/>
                <w:i w:val="0"/>
                <w:color w:val="232830"/>
                <w:sz w:val="16"/>
              </w:rPr>
              <w:t>Continued</w:t>
            </w:r>
          </w:p>
        </w:tc>
      </w:tr>
      <w:tr>
        <w:tc>
          <w:tcPr>
            <w:tcW w:type="dxa" w:w="1728"/>
            <w:shd w:val="clear" w:fill="EDF2FA"/>
          </w:tcPr>
          <w:p>
            <w:r>
              <w:rPr>
                <w:rFonts w:ascii="Arial" w:hAnsi="Arial"/>
                <w:b w:val="0"/>
                <w:i w:val="0"/>
                <w:color w:val="232830"/>
                <w:sz w:val="16"/>
              </w:rPr>
              <w:t>Acetaminophen</w:t>
            </w:r>
          </w:p>
        </w:tc>
        <w:tc>
          <w:tcPr>
            <w:tcW w:type="dxa" w:w="1728"/>
            <w:shd w:val="clear" w:fill="EDF2FA"/>
          </w:tcPr>
          <w:p>
            <w:r>
              <w:rPr>
                <w:rFonts w:ascii="Arial" w:hAnsi="Arial"/>
                <w:b w:val="0"/>
                <w:i w:val="0"/>
                <w:color w:val="232830"/>
                <w:sz w:val="16"/>
              </w:rPr>
              <w:t>650 mg</w:t>
            </w:r>
          </w:p>
        </w:tc>
        <w:tc>
          <w:tcPr>
            <w:tcW w:type="dxa" w:w="1728"/>
            <w:shd w:val="clear" w:fill="EDF2FA"/>
          </w:tcPr>
          <w:p>
            <w:r>
              <w:rPr>
                <w:rFonts w:ascii="Arial" w:hAnsi="Arial"/>
                <w:b w:val="0"/>
                <w:i w:val="0"/>
                <w:color w:val="232830"/>
                <w:sz w:val="16"/>
              </w:rPr>
              <w:t>Oral</w:t>
            </w:r>
          </w:p>
        </w:tc>
        <w:tc>
          <w:tcPr>
            <w:tcW w:type="dxa" w:w="1728"/>
            <w:shd w:val="clear" w:fill="EDF2FA"/>
          </w:tcPr>
          <w:p>
            <w:r>
              <w:rPr>
                <w:rFonts w:ascii="Arial" w:hAnsi="Arial"/>
                <w:b w:val="0"/>
                <w:i w:val="0"/>
                <w:color w:val="232830"/>
                <w:sz w:val="16"/>
              </w:rPr>
              <w:t>Three times daily as needed</w:t>
            </w:r>
          </w:p>
        </w:tc>
        <w:tc>
          <w:tcPr>
            <w:tcW w:type="dxa" w:w="1728"/>
            <w:shd w:val="clear" w:fill="EDF2FA"/>
          </w:tcPr>
          <w:p>
            <w:r>
              <w:rPr>
                <w:rFonts w:ascii="Arial" w:hAnsi="Arial"/>
                <w:b w:val="0"/>
                <w:i w:val="0"/>
                <w:color w:val="232830"/>
                <w:sz w:val="16"/>
              </w:rPr>
              <w:t>Knee osteoarthritis</w:t>
            </w:r>
          </w:p>
        </w:tc>
        <w:tc>
          <w:tcPr>
            <w:tcW w:type="dxa" w:w="1728"/>
            <w:shd w:val="clear" w:fill="EDF2FA"/>
          </w:tcPr>
          <w:p>
            <w:r>
              <w:rPr>
                <w:rFonts w:ascii="Arial" w:hAnsi="Arial"/>
                <w:b w:val="0"/>
                <w:i w:val="0"/>
                <w:color w:val="232830"/>
                <w:sz w:val="16"/>
              </w:rPr>
              <w:t>Continued</w:t>
            </w:r>
          </w:p>
        </w:tc>
      </w:tr>
    </w:tbl>
    <w:p/>
    <w:p>
      <w:r>
        <w:rPr>
          <w:rFonts w:ascii="Arial" w:hAnsi="Arial"/>
          <w:b w:val="0"/>
          <w:i w:val="0"/>
          <w:color w:val="232830"/>
          <w:sz w:val="19"/>
        </w:rPr>
        <w:t>Note: NSAIDs are avoided given chronic kidney disease; acetaminophen is the analgesic for the knee.</w:t>
      </w:r>
    </w:p>
    <w:p>
      <w:pPr>
        <w:spacing w:before="180" w:after="60"/>
        <w:pBdr>
          <w:bottom w:val="single" w:sz="6" w:color="C9D4EA" w:space="2"/>
        </w:pBdr>
      </w:pPr>
      <w:r>
        <w:rPr>
          <w:rFonts w:ascii="Arial" w:hAnsi="Arial"/>
          <w:b/>
          <w:i w:val="0"/>
          <w:color w:val="4472C4"/>
          <w:sz w:val="20"/>
        </w:rPr>
        <w:t>ALLERGIES</w:t>
      </w:r>
    </w:p>
    <w:p>
      <w:r>
        <w:rPr>
          <w:rFonts w:ascii="Arial" w:hAnsi="Arial"/>
          <w:b w:val="0"/>
          <w:i w:val="0"/>
          <w:color w:val="232830"/>
          <w:sz w:val="19"/>
        </w:rPr>
        <w:t>Sulfa (sulfonamide antibiotics), documented rash.</w:t>
      </w:r>
    </w:p>
    <w:p>
      <w:pPr>
        <w:spacing w:before="180" w:after="60"/>
        <w:pBdr>
          <w:bottom w:val="single" w:sz="6" w:color="C9D4EA" w:space="2"/>
        </w:pBdr>
      </w:pPr>
      <w:r>
        <w:rPr>
          <w:rFonts w:ascii="Arial" w:hAnsi="Arial"/>
          <w:b/>
          <w:i w:val="0"/>
          <w:color w:val="4472C4"/>
          <w:sz w:val="20"/>
        </w:rPr>
        <w:t>PHYSICAL EXAMINATION</w:t>
      </w:r>
    </w:p>
    <w:p>
      <w:r>
        <w:rPr>
          <w:rFonts w:ascii="Arial" w:hAnsi="Arial"/>
          <w:b w:val="0"/>
          <w:i w:val="0"/>
          <w:color w:val="232830"/>
          <w:sz w:val="19"/>
        </w:rPr>
        <w:t>Temperature 38.2 C, Heart Rate 104, Blood Pressure 148/82, Respiratory Rate 18, SpO2 96 percent room air. General: obese, uncomfortable. Cardiac: regular, no new murmur. Pulmonary: clear. Left foot: warm, edematous forefoot, plantar ulcer first to second metatarsal head with purulent malodorous drainage, surrounding erythema, no crepitus, no exposed bone on probing at bedside. Pulses diminished bilaterally, feet cool. Neuro: decreased monofilament sensation bilaterally.</w:t>
      </w:r>
    </w:p>
    <w:p>
      <w:pPr>
        <w:spacing w:before="180" w:after="60"/>
        <w:pBdr>
          <w:bottom w:val="single" w:sz="6" w:color="C9D4EA" w:space="2"/>
        </w:pBdr>
      </w:pPr>
      <w:r>
        <w:rPr>
          <w:rFonts w:ascii="Arial" w:hAnsi="Arial"/>
          <w:b/>
          <w:i w:val="0"/>
          <w:color w:val="4472C4"/>
          <w:sz w:val="20"/>
        </w:rPr>
        <w:t>ASSESSMENT AND PLAN</w:t>
      </w:r>
    </w:p>
    <w:p>
      <w:pPr>
        <w:pStyle w:val="ListBullet"/>
        <w:spacing w:after="30"/>
      </w:pPr>
      <w:r>
        <w:rPr>
          <w:rFonts w:ascii="Arial" w:hAnsi="Arial"/>
          <w:b w:val="0"/>
          <w:i w:val="0"/>
          <w:color w:val="232830"/>
          <w:sz w:val="19"/>
        </w:rPr>
        <w:t>1. Limb-threatening left diabetic foot infection. Empiric vancomycin and piperacillin-tazobactam, renally dosed. Urgent podiatry and surgical evaluation for debridement. Deep cultures at debridement.</w:t>
      </w:r>
    </w:p>
    <w:p>
      <w:pPr>
        <w:pStyle w:val="ListBullet"/>
        <w:spacing w:after="30"/>
      </w:pPr>
      <w:r>
        <w:rPr>
          <w:rFonts w:ascii="Arial" w:hAnsi="Arial"/>
          <w:b w:val="0"/>
          <w:i w:val="0"/>
          <w:color w:val="232830"/>
          <w:sz w:val="19"/>
        </w:rPr>
        <w:t>2. Acute kidney injury on CKD stage 3b, creatinine 2.1 from baseline 1.5. Hold metformin, empagliflozin, lisinopril. Renal dosing for all agents. Avoid nephrotoxins and contrast.</w:t>
      </w:r>
    </w:p>
    <w:p>
      <w:pPr>
        <w:pStyle w:val="ListBullet"/>
        <w:spacing w:after="30"/>
      </w:pPr>
      <w:r>
        <w:rPr>
          <w:rFonts w:ascii="Arial" w:hAnsi="Arial"/>
          <w:b w:val="0"/>
          <w:i w:val="0"/>
          <w:color w:val="232830"/>
          <w:sz w:val="19"/>
        </w:rPr>
        <w:t>3. Type 2 diabetes. Basal insulin continued and adjusted; prandial sliding scale. Endocrine input.</w:t>
      </w:r>
    </w:p>
    <w:p>
      <w:pPr>
        <w:pStyle w:val="ListBullet"/>
        <w:spacing w:after="30"/>
      </w:pPr>
      <w:r>
        <w:rPr>
          <w:rFonts w:ascii="Arial" w:hAnsi="Arial"/>
          <w:b w:val="0"/>
          <w:i w:val="0"/>
          <w:color w:val="232830"/>
          <w:sz w:val="19"/>
        </w:rPr>
        <w:t>4. Peripheral arterial disease. Vascular evaluation for perfusion given limb threat; non-invasive studies.</w:t>
      </w:r>
    </w:p>
    <w:p>
      <w:pPr>
        <w:pStyle w:val="ListBullet"/>
        <w:spacing w:after="30"/>
      </w:pPr>
      <w:r>
        <w:rPr>
          <w:rFonts w:ascii="Arial" w:hAnsi="Arial"/>
          <w:b w:val="0"/>
          <w:i w:val="0"/>
          <w:color w:val="232830"/>
          <w:sz w:val="19"/>
        </w:rPr>
        <w:t>5. HFpEF. Continue furosemide, monitor volume.</w:t>
      </w:r>
    </w:p>
    <w:p>
      <w:pPr>
        <w:pStyle w:val="ListBullet"/>
        <w:spacing w:after="30"/>
      </w:pPr>
      <w:r>
        <w:rPr>
          <w:rFonts w:ascii="Arial" w:hAnsi="Arial"/>
          <w:b w:val="0"/>
          <w:i w:val="0"/>
          <w:color w:val="232830"/>
          <w:sz w:val="19"/>
        </w:rPr>
        <w:t>6. Anemia of CKD, hemoglobin 9.8, stable. Iron continued; monitor.</w:t>
      </w:r>
    </w:p>
    <w:p>
      <w:pPr>
        <w:pStyle w:val="ListBullet"/>
        <w:spacing w:after="30"/>
      </w:pPr>
      <w:r>
        <w:rPr>
          <w:rFonts w:ascii="Arial" w:hAnsi="Arial"/>
          <w:b w:val="0"/>
          <w:i w:val="0"/>
          <w:color w:val="232830"/>
          <w:sz w:val="19"/>
        </w:rPr>
        <w:t>7. Disposition. Lives alone, second-floor walk-up, night-working caregiver. Early case management and therapy involvement.</w:t>
      </w:r>
    </w:p>
    <w:p>
      <w:pPr>
        <w:spacing w:before="200"/>
        <w:pBdr>
          <w:top w:val="single" w:sz="4" w:color="C9D4EA" w:space="4"/>
        </w:pBdr>
      </w:pPr>
      <w:r>
        <w:rPr>
          <w:rFonts w:ascii="Arial" w:hAnsi="Arial"/>
          <w:b w:val="0"/>
          <w:i/>
          <w:color w:val="5E6670"/>
          <w:sz w:val="18"/>
        </w:rPr>
        <w:t>Electronically signed by Tobias Renquist, MD (PGY-2) on 05/16/2026 1205; cosigned by Lillian Everet, MD on 05/16/2026 1320</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HISTORY AND PHYSICAL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HISTORY AND PHYSICAL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HISTORY AND PHYSICAL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