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 1700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PROGRESS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PROGRESS NOTE (APSO)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05/21/2026 1700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 1700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 AND PLAN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1. Limb-threat DFI: markedly improved, afebrile, WBC normalized, on culture-directed renally dosed therapy. Continued skilled wound care required.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2. Perfusion: vascular question not yet resolved; outpatient vascular follow-up being arranged.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3. AKI on CKD: creatinine 1.6, near baseline; held agents not yet restarted pending stability and parameters.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4. Disposition: clinically improving but not operationally safe for an unsupported second-floor walk-up; skilled needs and caregiver limits drive ongoing planning. No discharge conclusion at this time.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SUBJECTIVE</w:t>
      </w:r>
    </w:p>
    <w:p>
      <w:r>
        <w:rPr>
          <w:rFonts w:ascii="Arial" w:hAnsi="Arial"/>
          <w:b w:val="0"/>
          <w:i w:val="0"/>
          <w:color w:val="232830"/>
          <w:sz w:val="19"/>
        </w:rPr>
        <w:t>Patient afebrile and feeling better; asking about discharge. Counseled through interpreter that wound care, perfusion question, and home support are still being worked out.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OBJECTIVE</w:t>
      </w:r>
    </w:p>
    <w:p>
      <w:r>
        <w:rPr>
          <w:rFonts w:ascii="Arial" w:hAnsi="Arial"/>
          <w:b w:val="0"/>
          <w:i w:val="0"/>
          <w:color w:val="232830"/>
          <w:sz w:val="19"/>
        </w:rPr>
        <w:t>Vitals: T 36.8 C, HR 80, BP 134/76, RR 16, SpO2 98 percent RA, glucose 162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WBC 8.9 K/uL (normalized)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Creatinine 1.6 mg/dL (near baseline 1.5)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Wound granulating, scant drainage, dressings ongoing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Afebrile, hemodynamically stable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on 05/21/2026 1700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