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8"/>
        </w:rPr>
        <w:t>Marva Lydell World Brainstorm</w:t>
      </w:r>
    </w:p>
    <w:p>
      <w:r>
        <w:t>Document date: July 18, 2025</w:t>
      </w:r>
    </w:p>
    <w:tbl>
      <w:tblPr>
        <w:tblStyle w:val="Table1"/>
        <w:tblW w:w="1318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5580"/>
        <w:gridCol w:w="5220"/>
        <w:tblGridChange w:id="0">
          <w:tblGrid>
            <w:gridCol w:w="2385"/>
            <w:gridCol w:w="5580"/>
            <w:gridCol w:w="52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Element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Marva Lydell submission content</w:t>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
              <w:rPr>
                <w:sz w:val="18"/>
              </w:rPr>
              <w:t>Submission details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1. World setup</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Concept pitch for Team Lead review. World Type: Typical Clinical World (inpatient hospital medicine with post-discharge administrative and transition encounters). Snapshot: July 10, 2025 at 18:00. Patient: Marva Lydell, 72F. Document date: July 18, 2025.</w:t>
            </w:r>
          </w:p>
          <w:p>
            <w:r>
              <w:rPr>
                <w:sz w:val="18"/>
              </w:rPr>
            </w:r>
          </w:p>
          <w:p>
            <w:r>
              <w:rPr>
                <w:sz w:val="18"/>
              </w:rPr>
              <w:t>This is an inpatient hospital medicine world: a 7-day admission for acute decompensated heart failure with hypoxemia and cardiorenal acute kidney injury in Marva Lydell, a 72-year-old Black woman with chronic heart failure, atrial fibrillation on anticoagulation, CKD stage 3b to 4, COPD and obstructive sleep apnea overlap, type 2 diabetes, hypertension, obesity, and limited mobility. She presents with dyspnea, edema, rising weight, exertional intolerance, and worsening kidney function after several days of worsening symptoms at home. The course runs ED evaluation, admission for IV diuresis and oxygen assessment, cardiology and nephrology consultation, respiratory therapy testing, therapy evaluation, medication adjustment, and discharge planning.</w:t>
            </w:r>
          </w:p>
          <w:p>
            <w:r>
              <w:rPr>
                <w:sz w:val="18"/>
              </w:rPr>
            </w:r>
          </w:p>
          <w:p>
            <w:r>
              <w:rPr>
                <w:sz w:val="18"/>
              </w:rPr>
              <w:t>The world snapshot closes on July 10, 2025 at 18:00, at the point of realistic tension: she is clinically improved at rest, but transition safety remains unresolved. Creatinine is improving, resting oxygen saturation looks acceptable, and the discharge plan appears close. The unresolved issues are exertional oxygen need, portable oxygen delivery, diuretic and renal-medication follow-up, anticoagulation source hierarchy, functional tolerance, and the limits of home support. Every task is an independent encounter anchored after the snapshot. Each task can be answered from the planned chart, payer, respiratory therapy, pharmacy, case management, therapy, quality, and post-acute materials available to that requester.</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World Type: Typical Clinical World. Cardiorenal respiratory transition world with readiness, oxygen, DME, renal medication, anticoagulation, payer, and home-support frictions.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2. Major friction points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 Hospital medicine and cardiology versus the payer medical director (central): the payer reads stable resting vitals and improvement after diuresis as readiness for home with home health; the treating team reads the same admission as unsafe without reliable oxygen equipment, functional tolerance, and post-acute support.</w:t>
            </w:r>
          </w:p>
          <w:p>
            <w:r>
              <w:rPr>
                <w:sz w:val="18"/>
              </w:rPr>
              <w:t>- Cardiology versus nephrology: cardiology prioritizes decongestion, heart-failure protection, and readmission prevention; nephrology prioritizes kidney recovery, potassium safety, and careful timing for ACE inhibitor, SGLT2 inhibitor, metformin, and diuretic changes.</w:t>
            </w:r>
          </w:p>
          <w:p>
            <w:r>
              <w:rPr>
                <w:sz w:val="18"/>
              </w:rPr>
              <w:t>- Respiratory therapy and pulmonary versus case management and the DME vendor: respiratory testing identifies exertional oxygen need, while case management and vendor documentation may describe equipment as arranged before all usable pieces are actually delivered.</w:t>
            </w:r>
          </w:p>
          <w:p>
            <w:r>
              <w:rPr>
                <w:sz w:val="18"/>
              </w:rPr>
              <w:t>- Patient and family versus PT/OT and discharge planning: Marva wants to go home and her daughter can check in, but therapy findings, stairs, oxygen logistics, fatigue, and medication complexity may exceed that support.</w:t>
            </w:r>
          </w:p>
          <w:p>
            <w:r>
              <w:rPr>
                <w:sz w:val="18"/>
              </w:rPr>
              <w:t>- Pharmacy and SNF intake versus the inpatient chart: outside medication or intake documents can carry a stale anticoagulation dose, duplicate therapy, or renal-dose error that conflicts with the active inpatient record.</w:t>
            </w:r>
          </w:p>
          <w:p>
            <w:r>
              <w:rPr>
                <w:sz w:val="18"/>
              </w:rPr>
              <w:t>- Quality reviewer versus clinician author: administrative review often wants a clean closure, while the clinically correct answer may be to leave oxygen control, volume status, or follow-up ownership explicitly open.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Primary frictions: treating team vs payer, cardiology vs nephrology, respiratory therapy and pulmonary vs DME execution, patient and family preference vs functional safety, and pharmacy or SNF intake vs the inpatient chart.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3. Major traps</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 Resting oxygen versus exertional oxygen. Contradictory and buried information: resting saturation looks safe in routine vitals, while therapy or respiratory testing documents exertional desaturation. Requires synthesis across vitals, respiratory therapy testing, PT/OT tolerance, and discharge planning. World-level substrate; denial and continued-stay tasks can force the distinction.</w:t>
            </w:r>
          </w:p>
          <w:p>
            <w:r>
              <w:rPr>
                <w:sz w:val="18"/>
              </w:rPr>
              <w:t>- DME arranged versus DME delivered. Source-of-truth ambiguity: a case-management note may say oxygen was arranged, while vendor documentation shows that portable oxygen was not delivered, not functional, or not teach-backed. Requires synthesis across case management, vendor, nursing, and family communication. World-level substrate with post-snapshot administrative surfaces.</w:t>
            </w:r>
          </w:p>
          <w:p>
            <w:r>
              <w:rPr>
                <w:sz w:val="18"/>
              </w:rPr>
              <w:t>- Improving kidney function versus medication readiness. Temporal complexity: creatinine and potassium improve after diuresis, but that does not automatically make held renal or diabetes medications safe to restart. Requires synthesis across nephrology, cardiology, medication administration record, renal trend, and discharge medication list. World-level substrate; medication reconciliation and follow-up tasks force the decision.</w:t>
            </w:r>
          </w:p>
          <w:p>
            <w:r>
              <w:rPr>
                <w:sz w:val="18"/>
              </w:rPr>
              <w:t>- Volume status improvement versus transition readiness. Buried significant information: lower weight, improved edema, and better dyspnea coexist with orthopnea, exertional intolerance, and borderline renal recovery. Requires synthesis across progress notes, weights, intake/output, nursing notes, and therapy findings. World-level substrate.</w:t>
            </w:r>
          </w:p>
          <w:p>
            <w:r>
              <w:rPr>
                <w:sz w:val="18"/>
              </w:rPr>
              <w:t>- Anticoagulation dose and duplicate-therapy risk. Source-of-truth ambiguity: inpatient orders, home medication history, renal function, and post-acute intake documents may conflict on anticoagulation dose or antiplatelet overlap. Requires synthesis across MAR, discharge med list, renal trend, fill history, and SNF intake. World-level substrate; medication tasks and post-acute handoff tasks can force the stance.</w:t>
            </w:r>
          </w:p>
          <w:p>
            <w:r>
              <w:rPr>
                <w:sz w:val="18"/>
              </w:rPr>
              <w:t>- Home support overestimated. SDOH and functional context: daughter support is real but intermittent, and the home setting may include stairs, limited transportation, oxygen equipment burden, and complex medication changes. Requires synthesis across PT/OT, case management, nursing education, and family communication. World-level substrate.</w:t>
            </w:r>
          </w:p>
          <w:p>
            <w:r>
              <w:rPr>
                <w:sz w:val="18"/>
              </w:rPr>
              <w:t>- Respiratory control over-closed. Source-of-truth ambiguity: COPD or OSA may be described as stable because the patient owns home equipment, while the record does not prove effective use, exertional control, or adequate follow-up. Requires synthesis across respiratory therapy, sleep-equipment history, oxygen testing, and follow-up planning. World-level substrate.</w:t>
            </w:r>
          </w:p>
          <w:p>
            <w:r>
              <w:rPr>
                <w:sz w:val="18"/>
              </w:rPr>
              <w:t>- Payer denial authority bias. External-source conflict: a structured denial letter can sound definitive while omitting the clinical facts that support skilled care or equipment-level need. Requires synthesis across the denial, therapy data, oxygen testing, case-management notes, and physician documentation. Task-level surface.</w:t>
            </w:r>
          </w:p>
          <w:p>
            <w:r>
              <w:rPr>
                <w:sz w:val="18"/>
              </w:rPr>
              <w:t>- Readmission attribution shortcut. Retrospective review risk: a bounceback can be framed as patient nonadherence when the chart shows incomplete equipment delivery, unclear medication ownership, or an unsafe transition plan. Requires synthesis across discharge materials, vendor records, follow-up communication, and readmission documentation. Task-level surface.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
              <w:rPr>
                <w:sz w:val="18"/>
              </w:rPr>
              <w:t>Major traps: resting oxygen over-closure, missing equipment, volume-status over-closure, renal medication drift, anticoagulation source hierarchy, home support inflation, respiratory control over-closure, denial authority bias, and readmission attribution shortcut.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4. Rough task ideas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Ten tasks, each an independent post-snapshot encounter, each named with requester, deliverable, workflow family, structure, forced decision, clinical trap, and anchor.</w:t>
            </w:r>
          </w:p>
          <w:p>
            <w:r>
              <w:rPr>
                <w:sz w:val="18"/>
              </w:rPr>
            </w:r>
          </w:p>
          <w:p>
            <w:r>
              <w:rPr>
                <w:sz w:val="18"/>
              </w:rPr>
              <w:t>1. Oxygen and SNF denial appeal</w:t>
            </w:r>
          </w:p>
          <w:p>
            <w:r>
              <w:rPr>
                <w:sz w:val="18"/>
              </w:rPr>
              <w:t>Requester: Hospitalist attending for case management</w:t>
            </w:r>
          </w:p>
          <w:p>
            <w:r>
              <w:rPr>
                <w:sz w:val="18"/>
              </w:rPr>
              <w:t>Workflow: Claims Denial Analysis and Appeal Preparation</w:t>
            </w:r>
          </w:p>
          <w:p>
            <w:r>
              <w:rPr>
                <w:sz w:val="18"/>
              </w:rPr>
              <w:t>Structure: External position review</w:t>
            </w:r>
          </w:p>
          <w:p>
            <w:r>
              <w:rPr>
                <w:sz w:val="18"/>
              </w:rPr>
              <w:t>Required decision: Appeal, accept, or narrow the denial</w:t>
            </w:r>
          </w:p>
          <w:p>
            <w:r>
              <w:rPr>
                <w:sz w:val="18"/>
              </w:rPr>
              <w:t>Clinical trap: Denial relies on resting oxygen and ignores exertional oxygen need and transition risk</w:t>
            </w:r>
          </w:p>
          <w:p>
            <w:r>
              <w:rPr>
                <w:sz w:val="18"/>
              </w:rPr>
              <w:t>Anchor: July 11, 2025 at 09:00</w:t>
            </w:r>
          </w:p>
          <w:p>
            <w:r>
              <w:rPr>
                <w:sz w:val="18"/>
              </w:rPr>
              <w:t>2. Discharge medication reconciliation</w:t>
            </w:r>
          </w:p>
          <w:p>
            <w:r>
              <w:rPr>
                <w:sz w:val="18"/>
              </w:rPr>
              <w:t>Requester: Hospitalist attending</w:t>
            </w:r>
          </w:p>
          <w:p>
            <w:r>
              <w:rPr>
                <w:sz w:val="18"/>
              </w:rPr>
              <w:t>Workflow: Discharge Medication Reconciliation at Care Transitions</w:t>
            </w:r>
          </w:p>
          <w:p>
            <w:r>
              <w:rPr>
                <w:sz w:val="18"/>
              </w:rPr>
              <w:t>Structure: Forced inventory</w:t>
            </w:r>
          </w:p>
          <w:p>
            <w:r>
              <w:rPr>
                <w:sz w:val="18"/>
              </w:rPr>
              <w:t>Required decision: Continue, hold, change, stop, or defer per medication row</w:t>
            </w:r>
          </w:p>
          <w:p>
            <w:r>
              <w:rPr>
                <w:sz w:val="18"/>
              </w:rPr>
              <w:t>Clinical trap: Outside list carries stale renal or anticoagulation logic despite updated kidney function and active orders</w:t>
            </w:r>
          </w:p>
          <w:p>
            <w:r>
              <w:rPr>
                <w:sz w:val="18"/>
              </w:rPr>
              <w:t>Anchor: July 11, 2025 at 10:00</w:t>
            </w:r>
          </w:p>
          <w:p>
            <w:r>
              <w:rPr>
                <w:sz w:val="18"/>
              </w:rPr>
              <w:t>3. Continued-stay review</w:t>
            </w:r>
          </w:p>
          <w:p>
            <w:r>
              <w:rPr>
                <w:sz w:val="18"/>
              </w:rPr>
              <w:t>Requester: Physician advisor</w:t>
            </w:r>
          </w:p>
          <w:p>
            <w:r>
              <w:rPr>
                <w:sz w:val="18"/>
              </w:rPr>
              <w:t>Workflow: Utilization Review Concurrent Stay Documentation</w:t>
            </w:r>
          </w:p>
          <w:p>
            <w:r>
              <w:rPr>
                <w:sz w:val="18"/>
              </w:rPr>
              <w:t>Structure: Determination</w:t>
            </w:r>
          </w:p>
          <w:p>
            <w:r>
              <w:rPr>
                <w:sz w:val="18"/>
              </w:rPr>
              <w:t>Required decision: Approve continued stay, narrow, or deny</w:t>
            </w:r>
          </w:p>
          <w:p>
            <w:r>
              <w:rPr>
                <w:sz w:val="18"/>
              </w:rPr>
              <w:t>Clinical trap: Review worksheet treats improvement after diuresis as readiness despite unresolved oxygen equipment and exertional tolerance</w:t>
            </w:r>
          </w:p>
          <w:p>
            <w:r>
              <w:rPr>
                <w:sz w:val="18"/>
              </w:rPr>
              <w:t>Anchor: July 11, 2025 at 14:00</w:t>
            </w:r>
          </w:p>
          <w:p>
            <w:r>
              <w:rPr>
                <w:sz w:val="18"/>
              </w:rPr>
              <w:t>4. Transition note completion</w:t>
            </w:r>
          </w:p>
          <w:p>
            <w:r>
              <w:rPr>
                <w:sz w:val="18"/>
              </w:rPr>
              <w:t>Requester: Discharging attending</w:t>
            </w:r>
          </w:p>
          <w:p>
            <w:r>
              <w:rPr>
                <w:sz w:val="18"/>
              </w:rPr>
              <w:t>Workflow: Medical Transcription and Clinical Documentation Completion</w:t>
            </w:r>
          </w:p>
          <w:p>
            <w:r>
              <w:rPr>
                <w:sz w:val="18"/>
              </w:rPr>
              <w:t>Structure: Completion, the single completion task</w:t>
            </w:r>
          </w:p>
          <w:p>
            <w:r>
              <w:rPr>
                <w:sz w:val="18"/>
              </w:rPr>
              <w:t>Required decision: Finish open sections without falsely closing readiness</w:t>
            </w:r>
          </w:p>
          <w:p>
            <w:r>
              <w:rPr>
                <w:sz w:val="18"/>
              </w:rPr>
              <w:t>Clinical trap: Started note leaves oxygen, volume, and follow-up ownership open against a reassuring draft tone</w:t>
            </w:r>
          </w:p>
          <w:p>
            <w:r>
              <w:rPr>
                <w:sz w:val="18"/>
              </w:rPr>
              <w:t>Anchor: July 12, 2025 at 08:30</w:t>
            </w:r>
          </w:p>
          <w:p>
            <w:r>
              <w:rPr>
                <w:sz w:val="18"/>
              </w:rPr>
              <w:t>5. Post-acute coordination plan</w:t>
            </w:r>
          </w:p>
          <w:p>
            <w:r>
              <w:rPr>
                <w:sz w:val="18"/>
              </w:rPr>
              <w:t>Requester: Case manager</w:t>
            </w:r>
          </w:p>
          <w:p>
            <w:r>
              <w:rPr>
                <w:sz w:val="18"/>
              </w:rPr>
              <w:t>Workflow: Post-Acute Care Coordination Documentation</w:t>
            </w:r>
          </w:p>
          <w:p>
            <w:r>
              <w:rPr>
                <w:sz w:val="18"/>
              </w:rPr>
              <w:t>Structure: Coordination synthesis</w:t>
            </w:r>
          </w:p>
          <w:p>
            <w:r>
              <w:rPr>
                <w:sz w:val="18"/>
              </w:rPr>
              <w:t>Required decision: Assign owner, status, and next action for each transition item</w:t>
            </w:r>
          </w:p>
          <w:p>
            <w:r>
              <w:rPr>
                <w:sz w:val="18"/>
              </w:rPr>
              <w:t>Clinical trap: Case-management prose says DME arranged while vendor status leaves portable oxygen unresolved</w:t>
            </w:r>
          </w:p>
          <w:p>
            <w:r>
              <w:rPr>
                <w:sz w:val="18"/>
              </w:rPr>
              <w:t>Anchor: July 12, 2025 at 13:00</w:t>
            </w:r>
          </w:p>
          <w:p>
            <w:r>
              <w:rPr>
                <w:sz w:val="18"/>
              </w:rPr>
              <w:t>6. Cardiorenal follow-up letter</w:t>
            </w:r>
          </w:p>
          <w:p>
            <w:r>
              <w:rPr>
                <w:sz w:val="18"/>
              </w:rPr>
              <w:t>Requester: Hospitalist attending</w:t>
            </w:r>
          </w:p>
          <w:p>
            <w:r>
              <w:rPr>
                <w:sz w:val="18"/>
              </w:rPr>
              <w:t>Workflow: Specialist Referral Letter and Documentation Preparation</w:t>
            </w:r>
          </w:p>
          <w:p>
            <w:r>
              <w:rPr>
                <w:sz w:val="18"/>
              </w:rPr>
              <w:t>Structure: Specialist handoff</w:t>
            </w:r>
          </w:p>
          <w:p>
            <w:r>
              <w:rPr>
                <w:sz w:val="18"/>
              </w:rPr>
              <w:t>Required decision: Route diuretic, renal labs, potassium, anticoagulation, and restart decisions to the correct owner</w:t>
            </w:r>
          </w:p>
          <w:p>
            <w:r>
              <w:rPr>
                <w:sz w:val="18"/>
              </w:rPr>
              <w:t>Clinical trap: Follow-up draft makes the plan sound settled while renal and volume decisions remain conditional</w:t>
            </w:r>
          </w:p>
          <w:p>
            <w:r>
              <w:rPr>
                <w:sz w:val="18"/>
              </w:rPr>
              <w:t>Anchor: July 13, 2025 at 11:00</w:t>
            </w:r>
          </w:p>
          <w:p>
            <w:r>
              <w:rPr>
                <w:sz w:val="18"/>
              </w:rPr>
              <w:t>7. Home health versus SNF appeal</w:t>
            </w:r>
          </w:p>
          <w:p>
            <w:r>
              <w:rPr>
                <w:sz w:val="18"/>
              </w:rPr>
              <w:t>Requester: Hospitalist attending for utilization management</w:t>
            </w:r>
          </w:p>
          <w:p>
            <w:r>
              <w:rPr>
                <w:sz w:val="18"/>
              </w:rPr>
              <w:t>Workflow: Claims Denial Analysis and Appeal Preparation</w:t>
            </w:r>
          </w:p>
          <w:p>
            <w:r>
              <w:rPr>
                <w:sz w:val="18"/>
              </w:rPr>
              <w:t>Structure: External position review</w:t>
            </w:r>
          </w:p>
          <w:p>
            <w:r>
              <w:rPr>
                <w:sz w:val="18"/>
              </w:rPr>
              <w:t>Required decision: Support skilled need or accept home-health pathway</w:t>
            </w:r>
          </w:p>
          <w:p>
            <w:r>
              <w:rPr>
                <w:sz w:val="18"/>
              </w:rPr>
              <w:t>Clinical trap: Denial treats home health as sufficient despite stairs, oxygen burden, functional limits, and medication complexity</w:t>
            </w:r>
          </w:p>
          <w:p>
            <w:r>
              <w:rPr>
                <w:sz w:val="18"/>
              </w:rPr>
              <w:t>Anchor: July 15, 2025 at 10:00</w:t>
            </w:r>
          </w:p>
          <w:p>
            <w:r>
              <w:rPr>
                <w:sz w:val="18"/>
              </w:rPr>
              <w:t>8. Safety review after bounceback</w:t>
            </w:r>
          </w:p>
          <w:p>
            <w:r>
              <w:rPr>
                <w:sz w:val="18"/>
              </w:rPr>
              <w:t>Requester: Patient safety officer</w:t>
            </w:r>
          </w:p>
          <w:p>
            <w:r>
              <w:rPr>
                <w:sz w:val="18"/>
              </w:rPr>
              <w:t>Workflow: Patient Safety Event Investigation and Root Cause Analysis</w:t>
            </w:r>
          </w:p>
          <w:p>
            <w:r>
              <w:rPr>
                <w:sz w:val="18"/>
              </w:rPr>
              <w:t>Structure: Investigation</w:t>
            </w:r>
          </w:p>
          <w:p>
            <w:r>
              <w:rPr>
                <w:sz w:val="18"/>
              </w:rPr>
              <w:t>Required decision: Identify likely cause and prevention steps</w:t>
            </w:r>
          </w:p>
          <w:p>
            <w:r>
              <w:rPr>
                <w:sz w:val="18"/>
              </w:rPr>
              <w:t>Clinical trap: Initial event note blames nonadherence while the record supports equipment or handoff failure</w:t>
            </w:r>
          </w:p>
          <w:p>
            <w:r>
              <w:rPr>
                <w:sz w:val="18"/>
              </w:rPr>
              <w:t>Anchor: July 16, 2025 at 09:00</w:t>
            </w:r>
          </w:p>
          <w:p>
            <w:r>
              <w:rPr>
                <w:sz w:val="18"/>
              </w:rPr>
              <w:t>9. Heart-failure transition quality abstraction</w:t>
            </w:r>
          </w:p>
          <w:p>
            <w:r>
              <w:rPr>
                <w:sz w:val="18"/>
              </w:rPr>
              <w:t>Requester: Quality abstraction nurse</w:t>
            </w:r>
          </w:p>
          <w:p>
            <w:r>
              <w:rPr>
                <w:sz w:val="18"/>
              </w:rPr>
              <w:t>Workflow: HEDIS Medical Record Chart Abstraction and Review</w:t>
            </w:r>
          </w:p>
          <w:p>
            <w:r>
              <w:rPr>
                <w:sz w:val="18"/>
              </w:rPr>
              <w:t>Structure: Extraction to schema</w:t>
            </w:r>
          </w:p>
          <w:p>
            <w:r>
              <w:rPr>
                <w:sz w:val="18"/>
              </w:rPr>
              <w:t>Required decision: Record documented value, exclusion, or unable-to-determine per field</w:t>
            </w:r>
          </w:p>
          <w:p>
            <w:r>
              <w:rPr>
                <w:sz w:val="18"/>
              </w:rPr>
              <w:t>Clinical trap: Abstractor worksheet rewards a clean transition although oxygen or follow-up evidence is incomplete</w:t>
            </w:r>
          </w:p>
          <w:p>
            <w:r>
              <w:rPr>
                <w:sz w:val="18"/>
              </w:rPr>
              <w:t>Anchor: July 17, 2025 at 09:00</w:t>
            </w:r>
          </w:p>
          <w:p>
            <w:r>
              <w:rPr>
                <w:sz w:val="18"/>
              </w:rPr>
              <w:t>10. Documentation query response</w:t>
            </w:r>
          </w:p>
          <w:p>
            <w:r>
              <w:rPr>
                <w:sz w:val="18"/>
              </w:rPr>
              <w:t>Requester: CDI specialist</w:t>
            </w:r>
          </w:p>
          <w:p>
            <w:r>
              <w:rPr>
                <w:sz w:val="18"/>
              </w:rPr>
              <w:t>Workflow: Clinical Documentation Improvement (CDI) Query Response Review</w:t>
            </w:r>
          </w:p>
          <w:p>
            <w:r>
              <w:rPr>
                <w:sz w:val="18"/>
              </w:rPr>
              <w:t>Structure: Query response</w:t>
            </w:r>
          </w:p>
          <w:p>
            <w:r>
              <w:rPr>
                <w:sz w:val="18"/>
              </w:rPr>
              <w:t>Required decision: Agree, decline, or clarify supported specificity</w:t>
            </w:r>
          </w:p>
          <w:p>
            <w:r>
              <w:rPr>
                <w:sz w:val="18"/>
              </w:rPr>
              <w:t>Clinical trap: Query asks for over-specific acute respiratory failure or cardiorenal diagnosis language beyond the treating record</w:t>
            </w:r>
          </w:p>
          <w:p>
            <w:r>
              <w:rPr>
                <w:sz w:val="18"/>
              </w:rPr>
              <w:t>Anchor: July 17, 2025 at 12:00</w:t>
            </w:r>
          </w:p>
          <w:p>
            <w:r>
              <w:rPr>
                <w:sz w:val="18"/>
              </w:rPr>
            </w:r>
          </w:p>
          <w:p>
            <w:r>
              <w:rPr>
                <w:sz w:val="18"/>
              </w:rPr>
              <w:t>Structure spread: external position review x2, forced inventory, determination, completion x1, coordination synthesis, specialist handoff, investigation, extraction to schema, and query response. The shared chart stays raw, with no single summary that states the final readiness conclusion. Later administrative, quality, referral, and safety tasks branch independently from the same approved world snapshot and their own requester materials; they are not sequential outputs of earlier tasks.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
              <w:rPr>
                <w:sz w:val="18"/>
              </w:rPr>
              <w:t>Ten rough tasks across claims, medication reconciliation, utilization review, documentation completion, coordination, referral, safety, quality abstraction, and CDI workflows.</w:t>
            </w:r>
          </w:p>
        </w:tc>
      </w:tr>
    </w:tbl>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