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ONDINA VASQUELL WORLD SPECIFICATION DOCUMENT</w:t>
            </w:r>
          </w:p>
          <w:p>
            <w:pPr>
              <w:jc w:val="center"/>
            </w:pPr>
            <w:r>
              <w:rPr>
                <w:color w:val="666666"/>
                <w:sz w:val="20"/>
              </w:rPr>
              <w:t>World Title: Limb-Threat Diabetic Foot Infection | World Type: Typical Clinical World | Snapshot: May 21, 2026 at 18:00 | 10 Tasks</w:t>
            </w:r>
          </w:p>
          <w:p>
            <w:pPr>
              <w:jc w:val="center"/>
            </w:pPr>
            <w:r>
              <w:rPr>
                <w:color w:val="666666"/>
                <w:sz w:val="20"/>
              </w:rPr>
              <w:t>Clinical domain: inpatient hospital medicine, vascular and wound care, health information and payer operations | Project Sanctum | Version 1.0 | June 13, 2026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Limb-Threat Diabetic Foot Infection</w:t>
            </w:r>
          </w:p>
        </w:tc>
      </w:tr>
      <w:tr>
        <w:tc>
          <w:tcPr>
            <w:tcW w:type="dxa" w:w="5040"/>
            <w:shd w:val="clear" w:color="auto" w:fill="D6E4F0"/>
          </w:tcPr>
          <w:p>
            <w:r>
              <w:rPr>
                <w:b/>
                <w:color w:val="262B33"/>
                <w:sz w:val="16"/>
              </w:rPr>
              <w:t>Patient</w:t>
            </w:r>
          </w:p>
        </w:tc>
        <w:tc>
          <w:tcPr>
            <w:tcW w:type="dxa" w:w="5040"/>
          </w:tcPr>
          <w:p>
            <w:r>
              <w:rPr>
                <w:color w:val="262B33"/>
                <w:sz w:val="16"/>
              </w:rPr>
              <w:t>Ondina Vasquell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Vascular and Wound Care, Health Information and Payer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13, 2026</w:t>
            </w:r>
          </w:p>
        </w:tc>
      </w:tr>
    </w:tbl>
    <w:p>
      <w:pPr>
        <w:pStyle w:val="Heading1"/>
      </w:pPr>
      <w:r>
        <w:t>1. Clinical Scenario</w:t>
      </w:r>
    </w:p>
    <w:p>
      <w:pPr>
        <w:pStyle w:val="Heading2"/>
      </w:pPr>
      <w:r>
        <w:t>1.1 Big Picture Summary</w:t>
      </w:r>
    </w:p>
    <w:p>
      <w:pPr/>
      <w:r>
        <w:rPr>
          <w:color w:val="262B33"/>
          <w:sz w:val="16"/>
        </w:rP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rPr>
          <w:color w:val="262B33"/>
          <w:sz w:val="16"/>
        </w:rP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Ondina Vasquell / 03/14/1958 / 68 / Female</w:t>
            </w:r>
          </w:p>
        </w:tc>
      </w:tr>
      <w:tr>
        <w:tc>
          <w:tcPr>
            <w:tcW w:type="dxa" w:w="5040"/>
          </w:tcPr>
          <w:p>
            <w:r>
              <w:rPr>
                <w:color w:val="262B33"/>
                <w:sz w:val="16"/>
              </w:rPr>
              <w:t>Race / Height / Weight / BMI</w:t>
            </w:r>
          </w:p>
        </w:tc>
        <w:tc>
          <w:tcPr>
            <w:tcW w:type="dxa" w:w="5040"/>
          </w:tcPr>
          <w:p>
            <w:r>
              <w:rPr>
                <w:color w:val="262B33"/>
                <w:sz w:val="16"/>
              </w:rPr>
              <w:t>Hispanic / 157 cm (5 ft 2 in) / 84 kg (185 lb) / 34.1 (class I obesity)</w:t>
            </w:r>
          </w:p>
        </w:tc>
      </w:tr>
      <w:tr>
        <w:tc>
          <w:tcPr>
            <w:tcW w:type="dxa" w:w="5040"/>
          </w:tcPr>
          <w:p>
            <w:r>
              <w:rPr>
                <w:color w:val="262B33"/>
                <w:sz w:val="16"/>
              </w:rPr>
              <w:t>Code Status</w:t>
            </w:r>
          </w:p>
        </w:tc>
        <w:tc>
          <w:tcPr>
            <w:tcW w:type="dxa" w:w="5040"/>
          </w:tcPr>
          <w:p>
            <w:r>
              <w:rPr>
                <w:color w:val="262B33"/>
                <w:sz w:val="16"/>
              </w:rPr>
              <w:t>Full Code</w:t>
            </w:r>
          </w:p>
        </w:tc>
      </w:tr>
      <w:tr>
        <w:tc>
          <w:tcPr>
            <w:tcW w:type="dxa" w:w="5040"/>
          </w:tcPr>
          <w:p>
            <w:r>
              <w:rPr>
                <w:color w:val="262B33"/>
                <w:sz w:val="16"/>
              </w:rPr>
              <w:t>Marital / Dependents</w:t>
            </w:r>
          </w:p>
        </w:tc>
        <w:tc>
          <w:tcPr>
            <w:tcW w:type="dxa" w:w="5040"/>
          </w:tcPr>
          <w:p>
            <w:r>
              <w:rPr>
                <w:color w:val="262B33"/>
                <w:sz w:val="16"/>
              </w:rPr>
              <w:t>Widowed; lives alone in a second-floor walk-up; adult daughter is primary but night-working caregiver</w:t>
            </w:r>
          </w:p>
        </w:tc>
      </w:tr>
      <w:tr>
        <w:tc>
          <w:tcPr>
            <w:tcW w:type="dxa" w:w="5040"/>
          </w:tcPr>
          <w:p>
            <w:r>
              <w:rPr>
                <w:color w:val="262B33"/>
                <w:sz w:val="16"/>
              </w:rPr>
              <w:t>Additional demographics</w:t>
            </w:r>
          </w:p>
        </w:tc>
        <w:tc>
          <w:tcPr>
            <w:tcW w:type="dxa" w:w="5040"/>
          </w:tcPr>
          <w:p>
            <w:r>
              <w:rPr>
                <w:color w:val="262B33"/>
                <w:sz w:val="16"/>
              </w:rPr>
              <w:t>Spanish preferred, uses interpreter or bilingual staff for direct history; Medicare Advantage primary with Medicaid secondary; limited mobility at baseline</w:t>
            </w:r>
          </w:p>
        </w:tc>
      </w:tr>
      <w:tr>
        <w:tc>
          <w:tcPr>
            <w:tcW w:type="dxa" w:w="5040"/>
          </w:tcPr>
          <w:p>
            <w:r>
              <w:rPr>
                <w:color w:val="262B33"/>
                <w:sz w:val="16"/>
              </w:rPr>
              <w:t>Allergies / MRN</w:t>
            </w:r>
          </w:p>
        </w:tc>
        <w:tc>
          <w:tcPr>
            <w:tcW w:type="dxa" w:w="5040"/>
          </w:tcPr>
          <w:p>
            <w:r>
              <w:rPr>
                <w:color w:val="262B33"/>
                <w:sz w:val="16"/>
              </w:rPr>
              <w:t>Sulfa, sulfonamide antibiotics, documented rash / OV-3358104</w:t>
            </w:r>
          </w:p>
        </w:tc>
      </w:tr>
      <w:tr>
        <w:tc>
          <w:tcPr>
            <w:tcW w:type="dxa" w:w="5040"/>
          </w:tcPr>
          <w:p>
            <w:r>
              <w:rPr>
                <w:color w:val="262B33"/>
                <w:sz w:val="16"/>
              </w:rPr>
              <w:t>Pre-existing conditions</w:t>
            </w:r>
          </w:p>
        </w:tc>
        <w:tc>
          <w:tcPr>
            <w:tcW w:type="dxa" w:w="5040"/>
          </w:tcPr>
          <w:p>
            <w:r>
              <w:rPr>
                <w:color w:val="262B33"/>
                <w:sz w:val="16"/>
              </w:rP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rPr>
                <w:color w:val="262B33"/>
                <w:sz w:val="16"/>
              </w:rPr>
              <w:t>Active problem list</w:t>
            </w:r>
          </w:p>
        </w:tc>
        <w:tc>
          <w:tcPr>
            <w:tcW w:type="dxa" w:w="5040"/>
          </w:tcPr>
          <w:p>
            <w:r>
              <w:rPr>
                <w:color w:val="262B33"/>
                <w:sz w:val="16"/>
              </w:rP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r>
        <w:tc>
          <w:tcPr>
            <w:tcW w:type="dxa" w:w="5040"/>
          </w:tcPr>
          <w:p>
            <w:r>
              <w:rPr>
                <w:color w:val="262B33"/>
                <w:sz w:val="16"/>
              </w:rPr>
              <w:t>Baseline clinical anchors</w:t>
            </w:r>
          </w:p>
        </w:tc>
        <w:tc>
          <w:tcPr>
            <w:tcW w:type="dxa" w:w="5040"/>
          </w:tcPr>
          <w:p>
            <w:r>
              <w:rPr>
                <w:color w:val="262B33"/>
                <w:sz w:val="16"/>
              </w:rPr>
              <w:t>Outpatient creatinine 1.5 mg/dL, eGFR about 38 (CKD 3b); hemoglobin about 9.8 (anemia of CKD); HbA1c 8.6 percent; ambulates with a cane at home. These are comparators, not admission or hospital-course values, and distinguish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Insulin glargine</w:t>
            </w:r>
          </w:p>
        </w:tc>
        <w:tc>
          <w:tcPr>
            <w:tcW w:type="dxa" w:w="1440"/>
          </w:tcPr>
          <w:p>
            <w:r>
              <w:rPr>
                <w:color w:val="262B33"/>
                <w:sz w:val="16"/>
              </w:rPr>
              <w:t>26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Diabetes, basal</w:t>
            </w:r>
          </w:p>
        </w:tc>
        <w:tc>
          <w:tcPr>
            <w:tcW w:type="dxa" w:w="1440"/>
          </w:tcPr>
          <w:p>
            <w:r>
              <w:rPr>
                <w:color w:val="262B33"/>
                <w:sz w:val="16"/>
              </w:rPr>
              <w:t>Continued, intake-adjusted</w:t>
            </w:r>
          </w:p>
        </w:tc>
      </w:tr>
      <w:tr>
        <w:tc>
          <w:tcPr>
            <w:tcW w:type="dxa" w:w="1440"/>
          </w:tcPr>
          <w:p>
            <w:r>
              <w:rPr>
                <w:color w:val="262B33"/>
                <w:sz w:val="16"/>
              </w:rPr>
              <w:t>2</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Three times daily with meals</w:t>
            </w:r>
          </w:p>
        </w:tc>
        <w:tc>
          <w:tcPr>
            <w:tcW w:type="dxa" w:w="1440"/>
          </w:tcPr>
          <w:p>
            <w:r>
              <w:rPr>
                <w:color w:val="262B33"/>
                <w:sz w:val="16"/>
              </w:rPr>
              <w:t>Diabetes, prandial</w:t>
            </w:r>
          </w:p>
        </w:tc>
        <w:tc>
          <w:tcPr>
            <w:tcW w:type="dxa" w:w="1440"/>
          </w:tcPr>
          <w:p>
            <w:r>
              <w:rPr>
                <w:color w:val="262B33"/>
                <w:sz w:val="16"/>
              </w:rPr>
              <w:t>Continued per inpatient sliding scale</w:t>
            </w:r>
          </w:p>
        </w:tc>
      </w:tr>
      <w:tr>
        <w:tc>
          <w:tcPr>
            <w:tcW w:type="dxa" w:w="1440"/>
          </w:tcPr>
          <w:p>
            <w:r>
              <w:rPr>
                <w:color w:val="262B33"/>
                <w:sz w:val="16"/>
              </w:rPr>
              <w:t>3</w:t>
            </w:r>
          </w:p>
        </w:tc>
        <w:tc>
          <w:tcPr>
            <w:tcW w:type="dxa" w:w="1440"/>
          </w:tcPr>
          <w:p>
            <w:r>
              <w:rPr>
                <w:color w:val="262B33"/>
                <w:sz w:val="16"/>
              </w:rPr>
              <w:t>Metformin</w:t>
            </w:r>
          </w:p>
        </w:tc>
        <w:tc>
          <w:tcPr>
            <w:tcW w:type="dxa" w:w="1440"/>
          </w:tcPr>
          <w:p>
            <w:r>
              <w:rPr>
                <w:color w:val="262B33"/>
                <w:sz w:val="16"/>
              </w:rPr>
              <w:t>500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Diabetes</w:t>
            </w:r>
          </w:p>
        </w:tc>
        <w:tc>
          <w:tcPr>
            <w:tcW w:type="dxa" w:w="1440"/>
          </w:tcPr>
          <w:p>
            <w:r>
              <w:rPr>
                <w:color w:val="262B33"/>
                <w:sz w:val="16"/>
              </w:rPr>
              <w:t>Held on admission, renal and acute-illness caution</w:t>
            </w:r>
          </w:p>
        </w:tc>
      </w:tr>
      <w:tr>
        <w:tc>
          <w:tcPr>
            <w:tcW w:type="dxa" w:w="1440"/>
          </w:tcPr>
          <w:p>
            <w:r>
              <w:rPr>
                <w:color w:val="262B33"/>
                <w:sz w:val="16"/>
              </w:rPr>
              <w:t>4</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Diabetes, HFpEF, CKD</w:t>
            </w:r>
          </w:p>
        </w:tc>
        <w:tc>
          <w:tcPr>
            <w:tcW w:type="dxa" w:w="1440"/>
          </w:tcPr>
          <w:p>
            <w:r>
              <w:rPr>
                <w:color w:val="262B33"/>
                <w:sz w:val="16"/>
              </w:rPr>
              <w:t>Held during acute infection</w:t>
            </w:r>
          </w:p>
        </w:tc>
      </w:tr>
      <w:tr>
        <w:tc>
          <w:tcPr>
            <w:tcW w:type="dxa" w:w="1440"/>
          </w:tcPr>
          <w:p>
            <w:r>
              <w:rPr>
                <w:color w:val="262B33"/>
                <w:sz w:val="16"/>
              </w:rPr>
              <w:t>5</w:t>
            </w:r>
          </w:p>
        </w:tc>
        <w:tc>
          <w:tcPr>
            <w:tcW w:type="dxa" w:w="1440"/>
          </w:tcPr>
          <w:p>
            <w:r>
              <w:rPr>
                <w:color w:val="262B33"/>
                <w:sz w:val="16"/>
              </w:rPr>
              <w:t>Lisinopril</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CKD</w:t>
            </w:r>
          </w:p>
        </w:tc>
        <w:tc>
          <w:tcPr>
            <w:tcW w:type="dxa" w:w="1440"/>
          </w:tcPr>
          <w:p>
            <w:r>
              <w:rPr>
                <w:color w:val="262B33"/>
                <w:sz w:val="16"/>
              </w:rPr>
              <w:t>Held on admission for AKI risk</w:t>
            </w:r>
          </w:p>
        </w:tc>
      </w:tr>
      <w:tr>
        <w:tc>
          <w:tcPr>
            <w:tcW w:type="dxa" w:w="1440"/>
          </w:tcPr>
          <w:p>
            <w:r>
              <w:rPr>
                <w:color w:val="262B33"/>
                <w:sz w:val="16"/>
              </w:rPr>
              <w:t>6</w:t>
            </w:r>
          </w:p>
        </w:tc>
        <w:tc>
          <w:tcPr>
            <w:tcW w:type="dxa" w:w="1440"/>
          </w:tcPr>
          <w:p>
            <w:r>
              <w:rPr>
                <w:color w:val="262B33"/>
                <w:sz w:val="16"/>
              </w:rPr>
              <w:t>Furosemide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volume</w:t>
            </w:r>
          </w:p>
        </w:tc>
        <w:tc>
          <w:tcPr>
            <w:tcW w:type="dxa" w:w="1440"/>
          </w:tcPr>
          <w:p>
            <w:r>
              <w:rPr>
                <w:color w:val="262B33"/>
                <w:sz w:val="16"/>
              </w:rPr>
              <w:t>Continued, volume-adjusted</w:t>
            </w:r>
          </w:p>
        </w:tc>
      </w:tr>
      <w:tr>
        <w:tc>
          <w:tcPr>
            <w:tcW w:type="dxa" w:w="1440"/>
          </w:tcPr>
          <w:p>
            <w:r>
              <w:rPr>
                <w:color w:val="262B33"/>
                <w:sz w:val="16"/>
              </w:rPr>
              <w:t>7</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Dyslipidemia, PAD</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 secondary prevention</w:t>
            </w:r>
          </w:p>
        </w:tc>
        <w:tc>
          <w:tcPr>
            <w:tcW w:type="dxa" w:w="1440"/>
          </w:tcPr>
          <w:p>
            <w:r>
              <w:rPr>
                <w:color w:val="262B33"/>
                <w:sz w:val="16"/>
              </w:rPr>
              <w:t>Continued</w:t>
            </w:r>
          </w:p>
        </w:tc>
      </w:tr>
      <w:tr>
        <w:tc>
          <w:tcPr>
            <w:tcW w:type="dxa" w:w="1440"/>
          </w:tcPr>
          <w:p>
            <w:r>
              <w:rPr>
                <w:color w:val="262B33"/>
                <w:sz w:val="16"/>
              </w:rPr>
              <w:t>9</w:t>
            </w:r>
          </w:p>
        </w:tc>
        <w:tc>
          <w:tcPr>
            <w:tcW w:type="dxa" w:w="1440"/>
          </w:tcPr>
          <w:p>
            <w:r>
              <w:rPr>
                <w:color w:val="262B33"/>
                <w:sz w:val="16"/>
              </w:rPr>
              <w:t>Clopidogrel</w:t>
            </w:r>
          </w:p>
        </w:tc>
        <w:tc>
          <w:tcPr>
            <w:tcW w:type="dxa" w:w="1440"/>
          </w:tcPr>
          <w:p>
            <w:r>
              <w:rPr>
                <w:color w:val="262B33"/>
                <w:sz w:val="16"/>
              </w:rPr>
              <w:t>75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w:t>
            </w:r>
          </w:p>
        </w:tc>
        <w:tc>
          <w:tcPr>
            <w:tcW w:type="dxa" w:w="1440"/>
          </w:tcPr>
          <w:p>
            <w:r>
              <w:rPr>
                <w:color w:val="262B33"/>
                <w:sz w:val="16"/>
              </w:rPr>
              <w:t>Continued</w:t>
            </w:r>
          </w:p>
        </w:tc>
      </w:tr>
      <w:tr>
        <w:tc>
          <w:tcPr>
            <w:tcW w:type="dxa" w:w="1440"/>
          </w:tcPr>
          <w:p>
            <w:r>
              <w:rPr>
                <w:color w:val="262B33"/>
                <w:sz w:val="16"/>
              </w:rPr>
              <w:t>10</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neuropathy</w:t>
            </w:r>
          </w:p>
        </w:tc>
        <w:tc>
          <w:tcPr>
            <w:tcW w:type="dxa" w:w="1440"/>
          </w:tcPr>
          <w:p>
            <w:r>
              <w:rPr>
                <w:color w:val="262B33"/>
                <w:sz w:val="16"/>
              </w:rPr>
              <w:t>Continued, renally dose-checked</w:t>
            </w:r>
          </w:p>
        </w:tc>
      </w:tr>
      <w:tr>
        <w:tc>
          <w:tcPr>
            <w:tcW w:type="dxa" w:w="1440"/>
          </w:tcPr>
          <w:p>
            <w:r>
              <w:rPr>
                <w:color w:val="262B33"/>
                <w:sz w:val="16"/>
              </w:rPr>
              <w:t>11</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CKD, vitamin D</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GERD</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Acetaminophen</w:t>
            </w:r>
          </w:p>
        </w:tc>
        <w:tc>
          <w:tcPr>
            <w:tcW w:type="dxa" w:w="1440"/>
          </w:tcPr>
          <w:p>
            <w:r>
              <w:rPr>
                <w:color w:val="262B33"/>
                <w:sz w:val="16"/>
              </w:rPr>
              <w:t>650 mg</w:t>
            </w:r>
          </w:p>
        </w:tc>
        <w:tc>
          <w:tcPr>
            <w:tcW w:type="dxa" w:w="1440"/>
          </w:tcPr>
          <w:p>
            <w:r>
              <w:rPr>
                <w:color w:val="262B33"/>
                <w:sz w:val="16"/>
              </w:rPr>
              <w:t>Oral</w:t>
            </w:r>
          </w:p>
        </w:tc>
        <w:tc>
          <w:tcPr>
            <w:tcW w:type="dxa" w:w="1440"/>
          </w:tcPr>
          <w:p>
            <w:r>
              <w:rPr>
                <w:color w:val="262B33"/>
                <w:sz w:val="16"/>
              </w:rPr>
              <w:t>Three times daily as needed</w:t>
            </w:r>
          </w:p>
        </w:tc>
        <w:tc>
          <w:tcPr>
            <w:tcW w:type="dxa" w:w="1440"/>
          </w:tcPr>
          <w:p>
            <w:r>
              <w:rPr>
                <w:color w:val="262B33"/>
                <w:sz w:val="16"/>
              </w:rPr>
              <w:t>Knee osteoarthritis, NSAIDs avoided in CKD</w:t>
            </w:r>
          </w:p>
        </w:tc>
        <w:tc>
          <w:tcPr>
            <w:tcW w:type="dxa" w:w="1440"/>
          </w:tcPr>
          <w:p>
            <w:r>
              <w:rPr>
                <w:color w:val="262B33"/>
                <w:sz w:val="16"/>
              </w:rPr>
              <w:t>Continued</w:t>
            </w:r>
          </w:p>
        </w:tc>
      </w:tr>
      <w:tr>
        <w:tc>
          <w:tcPr>
            <w:tcW w:type="dxa" w:w="1440"/>
          </w:tcPr>
          <w:p>
            <w:r>
              <w:rPr>
                <w:color w:val="262B33"/>
                <w:sz w:val="16"/>
              </w:rPr>
              <w:t>15</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Marisol Everet, MD</w:t>
            </w:r>
          </w:p>
        </w:tc>
        <w:tc>
          <w:tcPr>
            <w:tcW w:type="dxa" w:w="3360"/>
          </w:tcPr>
          <w:p>
            <w:r>
              <w:rPr>
                <w:color w:val="262B33"/>
                <w:sz w:val="16"/>
              </w:rPr>
              <w:t>Hospitalist attending, attending of record</w:t>
            </w:r>
          </w:p>
        </w:tc>
        <w:tc>
          <w:tcPr>
            <w:tcW w:type="dxa" w:w="3360"/>
          </w:tcPr>
          <w:p>
            <w:r>
              <w:rPr>
                <w:color w:val="262B33"/>
                <w:sz w:val="16"/>
              </w:rPr>
              <w:t>World notes, Tasks 1, 2, 4, 8, 10</w:t>
            </w:r>
          </w:p>
        </w:tc>
      </w:tr>
      <w:tr>
        <w:tc>
          <w:tcPr>
            <w:tcW w:type="dxa" w:w="3360"/>
          </w:tcPr>
          <w:p>
            <w:r>
              <w:rPr>
                <w:color w:val="262B33"/>
                <w:sz w:val="16"/>
              </w:rPr>
              <w:t>Dr. Tobias Renquist,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Priyanka Vell, DPM</w:t>
            </w:r>
          </w:p>
        </w:tc>
        <w:tc>
          <w:tcPr>
            <w:tcW w:type="dxa" w:w="3360"/>
          </w:tcPr>
          <w:p>
            <w:r>
              <w:rPr>
                <w:color w:val="262B33"/>
                <w:sz w:val="16"/>
              </w:rPr>
              <w:t>Podiatry</w:t>
            </w:r>
          </w:p>
        </w:tc>
        <w:tc>
          <w:tcPr>
            <w:tcW w:type="dxa" w:w="3360"/>
          </w:tcPr>
          <w:p>
            <w:r>
              <w:rPr>
                <w:color w:val="262B33"/>
                <w:sz w:val="16"/>
              </w:rPr>
              <w:t>Debridement and wound notes, Tasks 2, 3, 8</w:t>
            </w:r>
          </w:p>
        </w:tc>
      </w:tr>
      <w:tr>
        <w:tc>
          <w:tcPr>
            <w:tcW w:type="dxa" w:w="3360"/>
          </w:tcPr>
          <w:p>
            <w:r>
              <w:rPr>
                <w:color w:val="262B33"/>
                <w:sz w:val="16"/>
              </w:rPr>
              <w:t>Dr. Castor Mwangi, MD</w:t>
            </w:r>
          </w:p>
        </w:tc>
        <w:tc>
          <w:tcPr>
            <w:tcW w:type="dxa" w:w="3360"/>
          </w:tcPr>
          <w:p>
            <w:r>
              <w:rPr>
                <w:color w:val="262B33"/>
                <w:sz w:val="16"/>
              </w:rPr>
              <w:t>Vascular surgery</w:t>
            </w:r>
          </w:p>
        </w:tc>
        <w:tc>
          <w:tcPr>
            <w:tcW w:type="dxa" w:w="3360"/>
          </w:tcPr>
          <w:p>
            <w:r>
              <w:rPr>
                <w:color w:val="262B33"/>
                <w:sz w:val="16"/>
              </w:rPr>
              <w:t>Perfusion consult, Tasks 4, 6, 8</w:t>
            </w:r>
          </w:p>
        </w:tc>
      </w:tr>
      <w:tr>
        <w:tc>
          <w:tcPr>
            <w:tcW w:type="dxa" w:w="3360"/>
          </w:tcPr>
          <w:p>
            <w:r>
              <w:rPr>
                <w:color w:val="262B33"/>
                <w:sz w:val="16"/>
              </w:rPr>
              <w:t>Dr. Helena Brusk, MD</w:t>
            </w:r>
          </w:p>
        </w:tc>
        <w:tc>
          <w:tcPr>
            <w:tcW w:type="dxa" w:w="3360"/>
          </w:tcPr>
          <w:p>
            <w:r>
              <w:rPr>
                <w:color w:val="262B33"/>
                <w:sz w:val="16"/>
              </w:rPr>
              <w:t>Infectious disease</w:t>
            </w:r>
          </w:p>
        </w:tc>
        <w:tc>
          <w:tcPr>
            <w:tcW w:type="dxa" w:w="3360"/>
          </w:tcPr>
          <w:p>
            <w:r>
              <w:rPr>
                <w:color w:val="262B33"/>
                <w:sz w:val="16"/>
              </w:rPr>
              <w:t>Antibiotic notes, Tasks 1, 3, 5</w:t>
            </w:r>
          </w:p>
        </w:tc>
      </w:tr>
      <w:tr>
        <w:tc>
          <w:tcPr>
            <w:tcW w:type="dxa" w:w="3360"/>
          </w:tcPr>
          <w:p>
            <w:r>
              <w:rPr>
                <w:color w:val="262B33"/>
                <w:sz w:val="16"/>
              </w:rPr>
              <w:t>Dr. Imran Saafeld, MD</w:t>
            </w:r>
          </w:p>
        </w:tc>
        <w:tc>
          <w:tcPr>
            <w:tcW w:type="dxa" w:w="3360"/>
          </w:tcPr>
          <w:p>
            <w:r>
              <w:rPr>
                <w:color w:val="262B33"/>
                <w:sz w:val="16"/>
              </w:rPr>
              <w:t>Endocrinology and diabetes education</w:t>
            </w:r>
          </w:p>
        </w:tc>
        <w:tc>
          <w:tcPr>
            <w:tcW w:type="dxa" w:w="3360"/>
          </w:tcPr>
          <w:p>
            <w:r>
              <w:rPr>
                <w:color w:val="262B33"/>
                <w:sz w:val="16"/>
              </w:rPr>
              <w:t>Glycemic notes, Tasks 1, 7</w:t>
            </w:r>
          </w:p>
        </w:tc>
      </w:tr>
      <w:tr>
        <w:tc>
          <w:tcPr>
            <w:tcW w:type="dxa" w:w="3360"/>
          </w:tcPr>
          <w:p>
            <w:r>
              <w:rPr>
                <w:color w:val="262B33"/>
                <w:sz w:val="16"/>
              </w:rPr>
              <w:t>Renata Olwyn, RN, CWOCN</w:t>
            </w:r>
          </w:p>
        </w:tc>
        <w:tc>
          <w:tcPr>
            <w:tcW w:type="dxa" w:w="3360"/>
          </w:tcPr>
          <w:p>
            <w:r>
              <w:rPr>
                <w:color w:val="262B33"/>
                <w:sz w:val="16"/>
              </w:rPr>
              <w:t>Wound care nurse</w:t>
            </w:r>
          </w:p>
        </w:tc>
        <w:tc>
          <w:tcPr>
            <w:tcW w:type="dxa" w:w="3360"/>
          </w:tcPr>
          <w:p>
            <w:r>
              <w:rPr>
                <w:color w:val="262B33"/>
                <w:sz w:val="16"/>
              </w:rPr>
              <w:t>Wound assessments, Tasks 2, 3, 8</w:t>
            </w:r>
          </w:p>
        </w:tc>
      </w:tr>
      <w:tr>
        <w:tc>
          <w:tcPr>
            <w:tcW w:type="dxa" w:w="3360"/>
          </w:tcPr>
          <w:p>
            <w:r>
              <w:rPr>
                <w:color w:val="262B33"/>
                <w:sz w:val="16"/>
              </w:rPr>
              <w:t>Devon Achara, PT, DPT</w:t>
            </w:r>
          </w:p>
        </w:tc>
        <w:tc>
          <w:tcPr>
            <w:tcW w:type="dxa" w:w="3360"/>
          </w:tcPr>
          <w:p>
            <w:r>
              <w:rPr>
                <w:color w:val="262B33"/>
                <w:sz w:val="16"/>
              </w:rPr>
              <w:t>Physical therapy</w:t>
            </w:r>
          </w:p>
        </w:tc>
        <w:tc>
          <w:tcPr>
            <w:tcW w:type="dxa" w:w="3360"/>
          </w:tcPr>
          <w:p>
            <w:r>
              <w:rPr>
                <w:color w:val="262B33"/>
                <w:sz w:val="16"/>
              </w:rPr>
              <w:t>Mobility evaluation, Tasks 4, 6, 9</w:t>
            </w:r>
          </w:p>
        </w:tc>
      </w:tr>
      <w:tr>
        <w:tc>
          <w:tcPr>
            <w:tcW w:type="dxa" w:w="3360"/>
          </w:tcPr>
          <w:p>
            <w:r>
              <w:rPr>
                <w:color w:val="262B33"/>
                <w:sz w:val="16"/>
              </w:rPr>
              <w:t>Sela Pruvost, OT</w:t>
            </w:r>
          </w:p>
        </w:tc>
        <w:tc>
          <w:tcPr>
            <w:tcW w:type="dxa" w:w="3360"/>
          </w:tcPr>
          <w:p>
            <w:r>
              <w:rPr>
                <w:color w:val="262B33"/>
                <w:sz w:val="16"/>
              </w:rPr>
              <w:t>Occupational therapy</w:t>
            </w:r>
          </w:p>
        </w:tc>
        <w:tc>
          <w:tcPr>
            <w:tcW w:type="dxa" w:w="3360"/>
          </w:tcPr>
          <w:p>
            <w:r>
              <w:rPr>
                <w:color w:val="262B33"/>
                <w:sz w:val="16"/>
              </w:rPr>
              <w:t>ADL and offloading teach-back, Tasks 4, 6, 9</w:t>
            </w:r>
          </w:p>
        </w:tc>
      </w:tr>
      <w:tr>
        <w:tc>
          <w:tcPr>
            <w:tcW w:type="dxa" w:w="3360"/>
          </w:tcPr>
          <w:p>
            <w:r>
              <w:rPr>
                <w:color w:val="262B33"/>
                <w:sz w:val="16"/>
              </w:rPr>
              <w:t>Quentin Mabari, PharmD</w:t>
            </w:r>
          </w:p>
        </w:tc>
        <w:tc>
          <w:tcPr>
            <w:tcW w:type="dxa" w:w="3360"/>
          </w:tcPr>
          <w:p>
            <w:r>
              <w:rPr>
                <w:color w:val="262B33"/>
                <w:sz w:val="16"/>
              </w:rPr>
              <w:t>Inpatient pharmacy</w:t>
            </w:r>
          </w:p>
        </w:tc>
        <w:tc>
          <w:tcPr>
            <w:tcW w:type="dxa" w:w="3360"/>
          </w:tcPr>
          <w:p>
            <w:r>
              <w:rPr>
                <w:color w:val="262B33"/>
                <w:sz w:val="16"/>
              </w:rPr>
              <w:t>Renal dosing, Task 5</w:t>
            </w:r>
          </w:p>
        </w:tc>
      </w:tr>
      <w:tr>
        <w:tc>
          <w:tcPr>
            <w:tcW w:type="dxa" w:w="3360"/>
          </w:tcPr>
          <w:p>
            <w:r>
              <w:rPr>
                <w:color w:val="262B33"/>
                <w:sz w:val="16"/>
              </w:rPr>
              <w:t>Lorna Defreze, RN, CCM</w:t>
            </w:r>
          </w:p>
        </w:tc>
        <w:tc>
          <w:tcPr>
            <w:tcW w:type="dxa" w:w="3360"/>
          </w:tcPr>
          <w:p>
            <w:r>
              <w:rPr>
                <w:color w:val="262B33"/>
                <w:sz w:val="16"/>
              </w:rPr>
              <w:t>Case management</w:t>
            </w:r>
          </w:p>
        </w:tc>
        <w:tc>
          <w:tcPr>
            <w:tcW w:type="dxa" w:w="3360"/>
          </w:tcPr>
          <w:p>
            <w:r>
              <w:rPr>
                <w:color w:val="262B33"/>
                <w:sz w:val="16"/>
              </w:rPr>
              <w:t>Disposition and payer, Tasks 4, 6</w:t>
            </w:r>
          </w:p>
        </w:tc>
      </w:tr>
      <w:tr>
        <w:tc>
          <w:tcPr>
            <w:tcW w:type="dxa" w:w="3360"/>
          </w:tcPr>
          <w:p>
            <w:r>
              <w:rPr>
                <w:color w:val="262B33"/>
                <w:sz w:val="16"/>
              </w:rPr>
              <w:t>Bristol Ndiaye, RN, CCDS</w:t>
            </w:r>
          </w:p>
        </w:tc>
        <w:tc>
          <w:tcPr>
            <w:tcW w:type="dxa" w:w="3360"/>
          </w:tcPr>
          <w:p>
            <w:r>
              <w:rPr>
                <w:color w:val="262B33"/>
                <w:sz w:val="16"/>
              </w:rPr>
              <w:t>Clinical documentation integrity</w:t>
            </w:r>
          </w:p>
        </w:tc>
        <w:tc>
          <w:tcPr>
            <w:tcW w:type="dxa" w:w="3360"/>
          </w:tcPr>
          <w:p>
            <w:r>
              <w:rPr>
                <w:color w:val="262B33"/>
                <w:sz w:val="16"/>
              </w:rPr>
              <w:t>Task 3</w:t>
            </w:r>
          </w:p>
        </w:tc>
      </w:tr>
      <w:tr>
        <w:tc>
          <w:tcPr>
            <w:tcW w:type="dxa" w:w="3360"/>
          </w:tcPr>
          <w:p>
            <w:r>
              <w:rPr>
                <w:color w:val="262B33"/>
                <w:sz w:val="16"/>
              </w:rPr>
              <w:t>Corwin Adeyle, RHIA, CCS</w:t>
            </w:r>
          </w:p>
        </w:tc>
        <w:tc>
          <w:tcPr>
            <w:tcW w:type="dxa" w:w="3360"/>
          </w:tcPr>
          <w:p>
            <w:r>
              <w:rPr>
                <w:color w:val="262B33"/>
                <w:sz w:val="16"/>
              </w:rPr>
              <w:t>Health information coding lead</w:t>
            </w:r>
          </w:p>
        </w:tc>
        <w:tc>
          <w:tcPr>
            <w:tcW w:type="dxa" w:w="3360"/>
          </w:tcPr>
          <w:p>
            <w:r>
              <w:rPr>
                <w:color w:val="262B33"/>
                <w:sz w:val="16"/>
              </w:rPr>
              <w:t>Task 2</w:t>
            </w:r>
          </w:p>
        </w:tc>
      </w:tr>
      <w:tr>
        <w:tc>
          <w:tcPr>
            <w:tcW w:type="dxa" w:w="3360"/>
          </w:tcPr>
          <w:p>
            <w:r>
              <w:rPr>
                <w:color w:val="262B33"/>
                <w:sz w:val="16"/>
              </w:rPr>
              <w:t>Dr. Ellery Stovall, MD</w:t>
            </w:r>
          </w:p>
        </w:tc>
        <w:tc>
          <w:tcPr>
            <w:tcW w:type="dxa" w:w="3360"/>
          </w:tcPr>
          <w:p>
            <w:r>
              <w:rPr>
                <w:color w:val="262B33"/>
                <w:sz w:val="16"/>
              </w:rPr>
              <w:t>Medicare Advantage medical director, external</w:t>
            </w:r>
          </w:p>
        </w:tc>
        <w:tc>
          <w:tcPr>
            <w:tcW w:type="dxa" w:w="3360"/>
          </w:tcPr>
          <w:p>
            <w:r>
              <w:rPr>
                <w:color w:val="262B33"/>
                <w:sz w:val="16"/>
              </w:rPr>
              <w:t>Task 4</w:t>
            </w:r>
          </w:p>
        </w:tc>
      </w:tr>
      <w:tr>
        <w:tc>
          <w:tcPr>
            <w:tcW w:type="dxa" w:w="3360"/>
          </w:tcPr>
          <w:p>
            <w:r>
              <w:rPr>
                <w:color w:val="262B33"/>
                <w:sz w:val="16"/>
              </w:rPr>
              <w:t>Marisela Vasquell</w:t>
            </w:r>
          </w:p>
        </w:tc>
        <w:tc>
          <w:tcPr>
            <w:tcW w:type="dxa" w:w="3360"/>
          </w:tcPr>
          <w:p>
            <w:r>
              <w:rPr>
                <w:color w:val="262B33"/>
                <w:sz w:val="16"/>
              </w:rPr>
              <w:t>Daughter and caregiver</w:t>
            </w:r>
          </w:p>
        </w:tc>
        <w:tc>
          <w:tcPr>
            <w:tcW w:type="dxa" w:w="3360"/>
          </w:tcPr>
          <w:p>
            <w:r>
              <w:rPr>
                <w:color w:val="262B33"/>
                <w:sz w:val="16"/>
              </w:rP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Discharge disposition (central)</w:t>
            </w:r>
          </w:p>
        </w:tc>
        <w:tc>
          <w:tcPr>
            <w:tcW w:type="dxa" w:w="2520"/>
          </w:tcPr>
          <w:p>
            <w:r>
              <w:rPr>
                <w:color w:val="262B33"/>
                <w:sz w:val="16"/>
              </w:rPr>
              <w:t>Medicare Advantage medical director (Dr. Stovall): improving infection markers support home with home health</w:t>
            </w:r>
          </w:p>
        </w:tc>
        <w:tc>
          <w:tcPr>
            <w:tcW w:type="dxa" w:w="2520"/>
          </w:tcPr>
          <w:p>
            <w:r>
              <w:rPr>
                <w:color w:val="262B33"/>
                <w:sz w:val="16"/>
              </w:rPr>
              <w:t>Treating team (Dr. Everet, case management): unsafe without skilled-nursing wound care, offloading training, and equipment</w:t>
            </w:r>
          </w:p>
        </w:tc>
        <w:tc>
          <w:tcPr>
            <w:tcW w:type="dxa" w:w="2520"/>
          </w:tcPr>
          <w:p>
            <w:r>
              <w:rPr>
                <w:color w:val="262B33"/>
                <w:sz w:val="16"/>
              </w:rPr>
              <w:t>Resolves toward continued skilled-level need; Tasks 4 and 6</w:t>
            </w:r>
          </w:p>
        </w:tc>
      </w:tr>
      <w:tr>
        <w:tc>
          <w:tcPr>
            <w:tcW w:type="dxa" w:w="2520"/>
          </w:tcPr>
          <w:p>
            <w:r>
              <w:rPr>
                <w:color w:val="262B33"/>
                <w:sz w:val="16"/>
              </w:rPr>
              <w:t>Home support (central)</w:t>
            </w:r>
          </w:p>
        </w:tc>
        <w:tc>
          <w:tcPr>
            <w:tcW w:type="dxa" w:w="2520"/>
          </w:tcPr>
          <w:p>
            <w:r>
              <w:rPr>
                <w:color w:val="262B33"/>
                <w:sz w:val="16"/>
              </w:rPr>
              <w:t>Daughter (Marisela): wants mother home, offers night-limited help</w:t>
            </w:r>
          </w:p>
        </w:tc>
        <w:tc>
          <w:tcPr>
            <w:tcW w:type="dxa" w:w="2520"/>
          </w:tcPr>
          <w:p>
            <w:r>
              <w:rPr>
                <w:color w:val="262B33"/>
                <w:sz w:val="16"/>
              </w:rPr>
              <w:t>PT/OT (Achara, Pruvost): walk-up stairs and offloading make home unsafe now</w:t>
            </w:r>
          </w:p>
        </w:tc>
        <w:tc>
          <w:tcPr>
            <w:tcW w:type="dxa" w:w="2520"/>
          </w:tcPr>
          <w:p>
            <w:r>
              <w:rPr>
                <w:color w:val="262B33"/>
                <w:sz w:val="16"/>
              </w:rPr>
              <w:t>Documented functional limits govern; Tasks 4, 6, 9</w:t>
            </w:r>
          </w:p>
        </w:tc>
      </w:tr>
      <w:tr>
        <w:tc>
          <w:tcPr>
            <w:tcW w:type="dxa" w:w="2520"/>
          </w:tcPr>
          <w:p>
            <w:r>
              <w:rPr>
                <w:color w:val="262B33"/>
                <w:sz w:val="16"/>
              </w:rPr>
              <w:t>Perfusion and wound advancement</w:t>
            </w:r>
          </w:p>
        </w:tc>
        <w:tc>
          <w:tcPr>
            <w:tcW w:type="dxa" w:w="2520"/>
          </w:tcPr>
          <w:p>
            <w:r>
              <w:rPr>
                <w:color w:val="262B33"/>
                <w:sz w:val="16"/>
              </w:rPr>
              <w:t>Podiatry (Dr. Vell): debride, offload, advance wound care</w:t>
            </w:r>
          </w:p>
        </w:tc>
        <w:tc>
          <w:tcPr>
            <w:tcW w:type="dxa" w:w="2520"/>
          </w:tcPr>
          <w:p>
            <w:r>
              <w:rPr>
                <w:color w:val="262B33"/>
                <w:sz w:val="16"/>
              </w:rPr>
              <w:t>Vascular surgery (Dr. Mwangi): settle perfusion and revascularization sequencing first</w:t>
            </w:r>
          </w:p>
        </w:tc>
        <w:tc>
          <w:tcPr>
            <w:tcW w:type="dxa" w:w="2520"/>
          </w:tcPr>
          <w:p>
            <w:r>
              <w:rPr>
                <w:color w:val="262B33"/>
                <w:sz w:val="16"/>
              </w:rPr>
              <w:t>Vascular study governs over bedside impression; Tasks 4, 6, 8</w:t>
            </w:r>
          </w:p>
        </w:tc>
      </w:tr>
      <w:tr>
        <w:tc>
          <w:tcPr>
            <w:tcW w:type="dxa" w:w="2520"/>
          </w:tcPr>
          <w:p>
            <w:r>
              <w:rPr>
                <w:color w:val="262B33"/>
                <w:sz w:val="16"/>
              </w:rPr>
              <w:t>Documentation severity</w:t>
            </w:r>
          </w:p>
        </w:tc>
        <w:tc>
          <w:tcPr>
            <w:tcW w:type="dxa" w:w="2520"/>
          </w:tcPr>
          <w:p>
            <w:r>
              <w:rPr>
                <w:color w:val="262B33"/>
                <w:sz w:val="16"/>
              </w:rPr>
              <w:t>Health information and CDI (Adeyle, Ndiaye): capture acute osteomyelitis and higher specificity</w:t>
            </w:r>
          </w:p>
        </w:tc>
        <w:tc>
          <w:tcPr>
            <w:tcW w:type="dxa" w:w="2520"/>
          </w:tcPr>
          <w:p>
            <w:r>
              <w:rPr>
                <w:color w:val="262B33"/>
                <w:sz w:val="16"/>
              </w:rPr>
              <w:t>Treating team: restraint, osteomyelitis not established</w:t>
            </w:r>
          </w:p>
        </w:tc>
        <w:tc>
          <w:tcPr>
            <w:tcW w:type="dxa" w:w="2520"/>
          </w:tcPr>
          <w:p>
            <w:r>
              <w:rPr>
                <w:color w:val="262B33"/>
                <w:sz w:val="16"/>
              </w:rPr>
              <w:t>Treating record governs; Tasks 2, 3</w:t>
            </w:r>
          </w:p>
        </w:tc>
      </w:tr>
      <w:tr>
        <w:tc>
          <w:tcPr>
            <w:tcW w:type="dxa" w:w="2520"/>
          </w:tcPr>
          <w:p>
            <w:r>
              <w:rPr>
                <w:color w:val="262B33"/>
                <w:sz w:val="16"/>
              </w:rPr>
              <w:t>Antibiotic formulary</w:t>
            </w:r>
          </w:p>
        </w:tc>
        <w:tc>
          <w:tcPr>
            <w:tcW w:type="dxa" w:w="2520"/>
          </w:tcPr>
          <w:p>
            <w:r>
              <w:rPr>
                <w:color w:val="262B33"/>
                <w:sz w:val="16"/>
              </w:rPr>
              <w:t>Pharmacy benefit manager: prefers a formulary substitute</w:t>
            </w:r>
          </w:p>
        </w:tc>
        <w:tc>
          <w:tcPr>
            <w:tcW w:type="dxa" w:w="2520"/>
          </w:tcPr>
          <w:p>
            <w:r>
              <w:rPr>
                <w:color w:val="262B33"/>
                <w:sz w:val="16"/>
              </w:rPr>
              <w:t>Infectious disease and pharmacy (Brusk, Mabari): renal and allergy safety first</w:t>
            </w:r>
          </w:p>
        </w:tc>
        <w:tc>
          <w:tcPr>
            <w:tcW w:type="dxa" w:w="2520"/>
          </w:tcPr>
          <w:p>
            <w:r>
              <w:rPr>
                <w:color w:val="262B33"/>
                <w:sz w:val="16"/>
              </w:rPr>
              <w:t>Clinical safety governs; Task 5</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rPr>
          <w:color w:val="262B33"/>
          <w:sz w:val="16"/>
        </w:rP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rPr>
          <w:color w:val="262B33"/>
          <w:sz w:val="16"/>
        </w:rP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rPr>
          <w:color w:val="262B33"/>
          <w:sz w:val="16"/>
        </w:rP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rPr>
          <w:color w:val="262B33"/>
          <w:sz w:val="16"/>
        </w:rPr>
        <w:t>The world snapshot freezes the chart at 18:00 on May 21, 2026, hospital day six, at this medically improving but operationally unsafe point. Every task in the world is an independent encounter that occurs strictly after this snapshot.</w:t>
      </w:r>
    </w:p>
    <w:p>
      <w:pPr/>
      <w:r>
        <w:rPr>
          <w:color w:val="262B33"/>
          <w:sz w:val="16"/>
        </w:rPr>
        <w:t>Procedural history is intentionally limited: the only procedure this admission is the hospital-day-two podiatry soft-tissue debridement. There is no prior amputation, no revascularization or bypass, no dialysis access, and no other major surgical history; the absence of a prior amputation is itself relevant, because this is her first limb-threat presentation.</w:t>
      </w:r>
    </w:p>
    <w:p>
      <w:pPr>
        <w:pStyle w:val="Heading2"/>
      </w:pPr>
      <w:r>
        <w:t>Comorbidity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w:t>
            </w:r>
          </w:p>
        </w:tc>
        <w:tc>
          <w:tcPr>
            <w:tcW w:type="dxa" w:w="3360"/>
            <w:shd w:val="clear" w:color="auto" w:fill="4472C4"/>
          </w:tcPr>
          <w:p>
            <w:r>
              <w:rPr>
                <w:b/>
                <w:color w:val="FFFFFF"/>
                <w:sz w:val="16"/>
              </w:rPr>
              <w:t>Condition</w:t>
            </w:r>
          </w:p>
        </w:tc>
        <w:tc>
          <w:tcPr>
            <w:tcW w:type="dxa" w:w="3360"/>
            <w:shd w:val="clear" w:color="auto" w:fill="4472C4"/>
          </w:tcPr>
          <w:p>
            <w:r>
              <w:rPr>
                <w:b/>
                <w:color w:val="FFFFFF"/>
                <w:sz w:val="16"/>
              </w:rPr>
              <w:t>Clinical role in this world</w:t>
            </w:r>
          </w:p>
        </w:tc>
      </w:tr>
      <w:tr>
        <w:tc>
          <w:tcPr>
            <w:tcW w:type="dxa" w:w="3360"/>
          </w:tcPr>
          <w:p>
            <w:r>
              <w:rPr>
                <w:color w:val="262B33"/>
                <w:sz w:val="16"/>
              </w:rPr>
              <w:t>1</w:t>
            </w:r>
          </w:p>
        </w:tc>
        <w:tc>
          <w:tcPr>
            <w:tcW w:type="dxa" w:w="3360"/>
          </w:tcPr>
          <w:p>
            <w:r>
              <w:rPr>
                <w:color w:val="262B33"/>
                <w:sz w:val="16"/>
              </w:rPr>
              <w:t>Insulin-dependent type 2 diabetes</w:t>
            </w:r>
          </w:p>
        </w:tc>
        <w:tc>
          <w:tcPr>
            <w:tcW w:type="dxa" w:w="3360"/>
          </w:tcPr>
          <w:p>
            <w:r>
              <w:rPr>
                <w:color w:val="262B33"/>
                <w:sz w:val="16"/>
              </w:rPr>
              <w:t>The core disease; drives the foot infection, the insulin regimen continued inpatient, and the diabetes quality-measure abstraction</w:t>
            </w:r>
          </w:p>
        </w:tc>
      </w:tr>
      <w:tr>
        <w:tc>
          <w:tcPr>
            <w:tcW w:type="dxa" w:w="3360"/>
          </w:tcPr>
          <w:p>
            <w:r>
              <w:rPr>
                <w:color w:val="262B33"/>
                <w:sz w:val="16"/>
              </w:rPr>
              <w:t>2</w:t>
            </w:r>
          </w:p>
        </w:tc>
        <w:tc>
          <w:tcPr>
            <w:tcW w:type="dxa" w:w="3360"/>
          </w:tcPr>
          <w:p>
            <w:r>
              <w:rPr>
                <w:color w:val="262B33"/>
                <w:sz w:val="16"/>
              </w:rPr>
              <w:t>Diabetic peripheral neuropathy</w:t>
            </w:r>
          </w:p>
        </w:tc>
        <w:tc>
          <w:tcPr>
            <w:tcW w:type="dxa" w:w="3360"/>
          </w:tcPr>
          <w:p>
            <w:r>
              <w:rPr>
                <w:color w:val="262B33"/>
                <w:sz w:val="16"/>
              </w:rPr>
              <w:t>Why she could not feel the worsening wound; contributes to fall and offloading risk</w:t>
            </w:r>
          </w:p>
        </w:tc>
      </w:tr>
      <w:tr>
        <w:tc>
          <w:tcPr>
            <w:tcW w:type="dxa" w:w="3360"/>
          </w:tcPr>
          <w:p>
            <w:r>
              <w:rPr>
                <w:color w:val="262B33"/>
                <w:sz w:val="16"/>
              </w:rPr>
              <w:t>3</w:t>
            </w:r>
          </w:p>
        </w:tc>
        <w:tc>
          <w:tcPr>
            <w:tcW w:type="dxa" w:w="3360"/>
          </w:tcPr>
          <w:p>
            <w:r>
              <w:rPr>
                <w:color w:val="262B33"/>
                <w:sz w:val="16"/>
              </w:rPr>
              <w:t>Mild non-proliferative diabetic retinopathy</w:t>
            </w:r>
          </w:p>
        </w:tc>
        <w:tc>
          <w:tcPr>
            <w:tcW w:type="dxa" w:w="3360"/>
          </w:tcPr>
          <w:p>
            <w:r>
              <w:rPr>
                <w:color w:val="262B33"/>
                <w:sz w:val="16"/>
              </w:rPr>
              <w:t>Diabetes end-organ context; the documented eye-exam date governs the quality-measure capture</w:t>
            </w:r>
          </w:p>
        </w:tc>
      </w:tr>
      <w:tr>
        <w:tc>
          <w:tcPr>
            <w:tcW w:type="dxa" w:w="3360"/>
          </w:tcPr>
          <w:p>
            <w:r>
              <w:rPr>
                <w:color w:val="262B33"/>
                <w:sz w:val="16"/>
              </w:rPr>
              <w:t>4</w:t>
            </w:r>
          </w:p>
        </w:tc>
        <w:tc>
          <w:tcPr>
            <w:tcW w:type="dxa" w:w="3360"/>
          </w:tcPr>
          <w:p>
            <w:r>
              <w:rPr>
                <w:color w:val="262B33"/>
                <w:sz w:val="16"/>
              </w:rPr>
              <w:t>CKD stage 3b</w:t>
            </w:r>
          </w:p>
        </w:tc>
        <w:tc>
          <w:tcPr>
            <w:tcW w:type="dxa" w:w="3360"/>
          </w:tcPr>
          <w:p>
            <w:r>
              <w:rPr>
                <w:color w:val="262B33"/>
                <w:sz w:val="16"/>
              </w:rPr>
              <w:t>Governs renal antibiotic dosing, the held-agent restart judgment, and contrast caution; makes NSAIDs unsafe</w:t>
            </w:r>
          </w:p>
        </w:tc>
      </w:tr>
      <w:tr>
        <w:tc>
          <w:tcPr>
            <w:tcW w:type="dxa" w:w="3360"/>
          </w:tcPr>
          <w:p>
            <w:r>
              <w:rPr>
                <w:color w:val="262B33"/>
                <w:sz w:val="16"/>
              </w:rPr>
              <w:t>5</w:t>
            </w:r>
          </w:p>
        </w:tc>
        <w:tc>
          <w:tcPr>
            <w:tcW w:type="dxa" w:w="3360"/>
          </w:tcPr>
          <w:p>
            <w:r>
              <w:rPr>
                <w:color w:val="262B33"/>
                <w:sz w:val="16"/>
              </w:rPr>
              <w:t>Anemia of CKD</w:t>
            </w:r>
          </w:p>
        </w:tc>
        <w:tc>
          <w:tcPr>
            <w:tcW w:type="dxa" w:w="3360"/>
          </w:tcPr>
          <w:p>
            <w:r>
              <w:rPr>
                <w:color w:val="262B33"/>
                <w:sz w:val="16"/>
              </w:rPr>
              <w:t>Reduced reserve; an intentionally open management item, never closed in the chart</w:t>
            </w:r>
          </w:p>
        </w:tc>
      </w:tr>
      <w:tr>
        <w:tc>
          <w:tcPr>
            <w:tcW w:type="dxa" w:w="3360"/>
          </w:tcPr>
          <w:p>
            <w:r>
              <w:rPr>
                <w:color w:val="262B33"/>
                <w:sz w:val="16"/>
              </w:rPr>
              <w:t>6</w:t>
            </w:r>
          </w:p>
        </w:tc>
        <w:tc>
          <w:tcPr>
            <w:tcW w:type="dxa" w:w="3360"/>
          </w:tcPr>
          <w:p>
            <w:r>
              <w:rPr>
                <w:color w:val="262B33"/>
                <w:sz w:val="16"/>
              </w:rPr>
              <w:t>Peripheral arterial disease</w:t>
            </w:r>
          </w:p>
        </w:tc>
        <w:tc>
          <w:tcPr>
            <w:tcW w:type="dxa" w:w="3360"/>
          </w:tcPr>
          <w:p>
            <w:r>
              <w:rPr>
                <w:color w:val="262B33"/>
                <w:sz w:val="16"/>
              </w:rPr>
              <w:t>The perfusion question central to limb threat, the appeal, the determination, and the referral</w:t>
            </w:r>
          </w:p>
        </w:tc>
      </w:tr>
      <w:tr>
        <w:tc>
          <w:tcPr>
            <w:tcW w:type="dxa" w:w="3360"/>
          </w:tcPr>
          <w:p>
            <w:r>
              <w:rPr>
                <w:color w:val="262B33"/>
                <w:sz w:val="16"/>
              </w:rPr>
              <w:t>7</w:t>
            </w:r>
          </w:p>
        </w:tc>
        <w:tc>
          <w:tcPr>
            <w:tcW w:type="dxa" w:w="3360"/>
          </w:tcPr>
          <w:p>
            <w:r>
              <w:rPr>
                <w:color w:val="262B33"/>
                <w:sz w:val="16"/>
              </w:rPr>
              <w:t>HFpEF</w:t>
            </w:r>
          </w:p>
        </w:tc>
        <w:tc>
          <w:tcPr>
            <w:tcW w:type="dxa" w:w="3360"/>
          </w:tcPr>
          <w:p>
            <w:r>
              <w:rPr>
                <w:color w:val="262B33"/>
                <w:sz w:val="16"/>
              </w:rPr>
              <w:t>Volume and diuretic context; restart caution for empagliflozin and lisinopril</w:t>
            </w:r>
          </w:p>
        </w:tc>
      </w:tr>
      <w:tr>
        <w:tc>
          <w:tcPr>
            <w:tcW w:type="dxa" w:w="3360"/>
          </w:tcPr>
          <w:p>
            <w:r>
              <w:rPr>
                <w:color w:val="262B33"/>
                <w:sz w:val="16"/>
              </w:rPr>
              <w:t>8</w:t>
            </w:r>
          </w:p>
        </w:tc>
        <w:tc>
          <w:tcPr>
            <w:tcW w:type="dxa" w:w="3360"/>
          </w:tcPr>
          <w:p>
            <w:r>
              <w:rPr>
                <w:color w:val="262B33"/>
                <w:sz w:val="16"/>
              </w:rPr>
              <w:t>Hypertension</w:t>
            </w:r>
          </w:p>
        </w:tc>
        <w:tc>
          <w:tcPr>
            <w:tcW w:type="dxa" w:w="3360"/>
          </w:tcPr>
          <w:p>
            <w:r>
              <w:rPr>
                <w:color w:val="262B33"/>
                <w:sz w:val="16"/>
              </w:rPr>
              <w:t>Cardiorenal context; supports the held lisinopril and the volume picture</w:t>
            </w:r>
          </w:p>
        </w:tc>
      </w:tr>
      <w:tr>
        <w:tc>
          <w:tcPr>
            <w:tcW w:type="dxa" w:w="3360"/>
          </w:tcPr>
          <w:p>
            <w:r>
              <w:rPr>
                <w:color w:val="262B33"/>
                <w:sz w:val="16"/>
              </w:rPr>
              <w:t>9</w:t>
            </w:r>
          </w:p>
        </w:tc>
        <w:tc>
          <w:tcPr>
            <w:tcW w:type="dxa" w:w="3360"/>
          </w:tcPr>
          <w:p>
            <w:r>
              <w:rPr>
                <w:color w:val="262B33"/>
                <w:sz w:val="16"/>
              </w:rPr>
              <w:t>Dyslipidemia</w:t>
            </w:r>
          </w:p>
        </w:tc>
        <w:tc>
          <w:tcPr>
            <w:tcW w:type="dxa" w:w="3360"/>
          </w:tcPr>
          <w:p>
            <w:r>
              <w:rPr>
                <w:color w:val="262B33"/>
                <w:sz w:val="16"/>
              </w:rPr>
              <w:t>Chronic ASCVD risk; supports statin and antiplatelet continuation</w:t>
            </w:r>
          </w:p>
        </w:tc>
      </w:tr>
      <w:tr>
        <w:tc>
          <w:tcPr>
            <w:tcW w:type="dxa" w:w="3360"/>
          </w:tcPr>
          <w:p>
            <w:r>
              <w:rPr>
                <w:color w:val="262B33"/>
                <w:sz w:val="16"/>
              </w:rPr>
              <w:t>10</w:t>
            </w:r>
          </w:p>
        </w:tc>
        <w:tc>
          <w:tcPr>
            <w:tcW w:type="dxa" w:w="3360"/>
          </w:tcPr>
          <w:p>
            <w:r>
              <w:rPr>
                <w:color w:val="262B33"/>
                <w:sz w:val="16"/>
              </w:rPr>
              <w:t>Obesity (class I)</w:t>
            </w:r>
          </w:p>
        </w:tc>
        <w:tc>
          <w:tcPr>
            <w:tcW w:type="dxa" w:w="3360"/>
          </w:tcPr>
          <w:p>
            <w:r>
              <w:rPr>
                <w:color w:val="262B33"/>
                <w:sz w:val="16"/>
              </w:rPr>
              <w:t>Cardiometabolic and mobility burden; compounds offloading difficulty</w:t>
            </w:r>
          </w:p>
        </w:tc>
      </w:tr>
      <w:tr>
        <w:tc>
          <w:tcPr>
            <w:tcW w:type="dxa" w:w="3360"/>
          </w:tcPr>
          <w:p>
            <w:r>
              <w:rPr>
                <w:color w:val="262B33"/>
                <w:sz w:val="16"/>
              </w:rPr>
              <w:t>11</w:t>
            </w:r>
          </w:p>
        </w:tc>
        <w:tc>
          <w:tcPr>
            <w:tcW w:type="dxa" w:w="3360"/>
          </w:tcPr>
          <w:p>
            <w:r>
              <w:rPr>
                <w:color w:val="262B33"/>
                <w:sz w:val="16"/>
              </w:rPr>
              <w:t>Obstructive sleep apnea on CPAP</w:t>
            </w:r>
          </w:p>
        </w:tc>
        <w:tc>
          <w:tcPr>
            <w:tcW w:type="dxa" w:w="3360"/>
          </w:tcPr>
          <w:p>
            <w:r>
              <w:rPr>
                <w:color w:val="262B33"/>
                <w:sz w:val="16"/>
              </w:rPr>
              <w:t>Chronic reserve burden; equipment continuity at discharge</w:t>
            </w:r>
          </w:p>
        </w:tc>
      </w:tr>
      <w:tr>
        <w:tc>
          <w:tcPr>
            <w:tcW w:type="dxa" w:w="3360"/>
          </w:tcPr>
          <w:p>
            <w:r>
              <w:rPr>
                <w:color w:val="262B33"/>
                <w:sz w:val="16"/>
              </w:rPr>
              <w:t>12</w:t>
            </w:r>
          </w:p>
        </w:tc>
        <w:tc>
          <w:tcPr>
            <w:tcW w:type="dxa" w:w="3360"/>
          </w:tcPr>
          <w:p>
            <w:r>
              <w:rPr>
                <w:color w:val="262B33"/>
                <w:sz w:val="16"/>
              </w:rPr>
              <w:t>Knee osteoarthritis</w:t>
            </w:r>
          </w:p>
        </w:tc>
        <w:tc>
          <w:tcPr>
            <w:tcW w:type="dxa" w:w="3360"/>
          </w:tcPr>
          <w:p>
            <w:r>
              <w:rPr>
                <w:color w:val="262B33"/>
                <w:sz w:val="16"/>
              </w:rPr>
              <w:t>Why an NSAID is tempting but unsafe in CKD; acetaminophen-only is the quiet correct expectation</w:t>
            </w:r>
          </w:p>
        </w:tc>
      </w:tr>
      <w:tr>
        <w:tc>
          <w:tcPr>
            <w:tcW w:type="dxa" w:w="3360"/>
          </w:tcPr>
          <w:p>
            <w:r>
              <w:rPr>
                <w:color w:val="262B33"/>
                <w:sz w:val="16"/>
              </w:rPr>
              <w:t>13</w:t>
            </w:r>
          </w:p>
        </w:tc>
        <w:tc>
          <w:tcPr>
            <w:tcW w:type="dxa" w:w="3360"/>
          </w:tcPr>
          <w:p>
            <w:r>
              <w:rPr>
                <w:color w:val="262B33"/>
                <w:sz w:val="16"/>
              </w:rPr>
              <w:t>Limited mobility at baseline</w:t>
            </w:r>
          </w:p>
        </w:tc>
        <w:tc>
          <w:tcPr>
            <w:tcW w:type="dxa" w:w="3360"/>
          </w:tcPr>
          <w:p>
            <w:r>
              <w:rPr>
                <w:color w:val="262B33"/>
                <w:sz w:val="16"/>
              </w:rPr>
              <w:t>Compounds offloading and stairs; central to the disposition-safety tasks</w:t>
            </w:r>
          </w:p>
        </w:tc>
      </w:tr>
    </w:tbl>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03/15/2026</w:t>
            </w:r>
          </w:p>
        </w:tc>
        <w:tc>
          <w:tcPr>
            <w:tcW w:type="dxa" w:w="5040"/>
          </w:tcPr>
          <w:p>
            <w:r>
              <w:rPr>
                <w:color w:val="262B33"/>
                <w:sz w:val="16"/>
              </w:rPr>
              <w:t>Prior outpatient dilated eye exam, mild non-proliferative retinopathy (quality-measure lookback)</w:t>
            </w:r>
          </w:p>
        </w:tc>
      </w:tr>
      <w:tr>
        <w:tc>
          <w:tcPr>
            <w:tcW w:type="dxa" w:w="5040"/>
          </w:tcPr>
          <w:p>
            <w:r>
              <w:rPr>
                <w:color w:val="262B33"/>
                <w:sz w:val="16"/>
              </w:rPr>
              <w:t>04/28/2026</w:t>
            </w:r>
          </w:p>
        </w:tc>
        <w:tc>
          <w:tcPr>
            <w:tcW w:type="dxa" w:w="5040"/>
          </w:tcPr>
          <w:p>
            <w:r>
              <w:rPr>
                <w:color w:val="262B33"/>
                <w:sz w:val="16"/>
              </w:rPr>
              <w:t>Outpatient foot ulcer first noted; three-week deterioration</w:t>
            </w:r>
          </w:p>
        </w:tc>
      </w:tr>
      <w:tr>
        <w:tc>
          <w:tcPr>
            <w:tcW w:type="dxa" w:w="5040"/>
          </w:tcPr>
          <w:p>
            <w:r>
              <w:rPr>
                <w:color w:val="262B33"/>
                <w:sz w:val="16"/>
              </w:rPr>
              <w:t>04/30/2026</w:t>
            </w:r>
          </w:p>
        </w:tc>
        <w:tc>
          <w:tcPr>
            <w:tcW w:type="dxa" w:w="5040"/>
          </w:tcPr>
          <w:p>
            <w:r>
              <w:rPr>
                <w:color w:val="262B33"/>
                <w:sz w:val="16"/>
              </w:rPr>
              <w:t>Outpatient primary care summary, chronic disease status before admission</w:t>
            </w:r>
          </w:p>
        </w:tc>
      </w:tr>
      <w:tr>
        <w:tc>
          <w:tcPr>
            <w:tcW w:type="dxa" w:w="5040"/>
          </w:tcPr>
          <w:p>
            <w:r>
              <w:rPr>
                <w:color w:val="262B33"/>
                <w:sz w:val="16"/>
              </w:rPr>
              <w:t>05/16/2026</w:t>
            </w:r>
          </w:p>
        </w:tc>
        <w:tc>
          <w:tcPr>
            <w:tcW w:type="dxa" w:w="5040"/>
          </w:tcPr>
          <w:p>
            <w:r>
              <w:rPr>
                <w:color w:val="262B33"/>
                <w:sz w:val="16"/>
              </w:rPr>
              <w:t>ED presentation and admission, hospital day 1; empiric antibiotics</w:t>
            </w:r>
          </w:p>
        </w:tc>
      </w:tr>
      <w:tr>
        <w:tc>
          <w:tcPr>
            <w:tcW w:type="dxa" w:w="5040"/>
          </w:tcPr>
          <w:p>
            <w:r>
              <w:rPr>
                <w:color w:val="262B33"/>
                <w:sz w:val="16"/>
              </w:rPr>
              <w:t>05/17/2026</w:t>
            </w:r>
          </w:p>
        </w:tc>
        <w:tc>
          <w:tcPr>
            <w:tcW w:type="dxa" w:w="5040"/>
          </w:tcPr>
          <w:p>
            <w:r>
              <w:rPr>
                <w:color w:val="262B33"/>
                <w:sz w:val="16"/>
              </w:rPr>
              <w:t>Podiatry soft-tissue debridement, hospital day 2; deep cultures sent</w:t>
            </w:r>
          </w:p>
        </w:tc>
      </w:tr>
      <w:tr>
        <w:tc>
          <w:tcPr>
            <w:tcW w:type="dxa" w:w="5040"/>
          </w:tcPr>
          <w:p>
            <w:r>
              <w:rPr>
                <w:color w:val="262B33"/>
                <w:sz w:val="16"/>
              </w:rPr>
              <w:t>05/18/2026</w:t>
            </w:r>
          </w:p>
        </w:tc>
        <w:tc>
          <w:tcPr>
            <w:tcW w:type="dxa" w:w="5040"/>
          </w:tcPr>
          <w:p>
            <w:r>
              <w:rPr>
                <w:color w:val="262B33"/>
                <w:sz w:val="16"/>
              </w:rPr>
              <w:t>MRI foot, equivocal osteomyelitis; ID consult, hospital day 3</w:t>
            </w:r>
          </w:p>
        </w:tc>
      </w:tr>
      <w:tr>
        <w:tc>
          <w:tcPr>
            <w:tcW w:type="dxa" w:w="5040"/>
          </w:tcPr>
          <w:p>
            <w:r>
              <w:rPr>
                <w:color w:val="262B33"/>
                <w:sz w:val="16"/>
              </w:rPr>
              <w:t>05/19/2026</w:t>
            </w:r>
          </w:p>
        </w:tc>
        <w:tc>
          <w:tcPr>
            <w:tcW w:type="dxa" w:w="5040"/>
          </w:tcPr>
          <w:p>
            <w:r>
              <w:rPr>
                <w:color w:val="262B33"/>
                <w:sz w:val="16"/>
              </w:rPr>
              <w:t>ABI/TBI study, noncompressible; vascular consult, hospital day 4</w:t>
            </w:r>
          </w:p>
        </w:tc>
      </w:tr>
      <w:tr>
        <w:tc>
          <w:tcPr>
            <w:tcW w:type="dxa" w:w="5040"/>
          </w:tcPr>
          <w:p>
            <w:r>
              <w:rPr>
                <w:color w:val="262B33"/>
                <w:sz w:val="16"/>
              </w:rPr>
              <w:t>05/20/2026</w:t>
            </w:r>
          </w:p>
        </w:tc>
        <w:tc>
          <w:tcPr>
            <w:tcW w:type="dxa" w:w="5040"/>
          </w:tcPr>
          <w:p>
            <w:r>
              <w:rPr>
                <w:color w:val="262B33"/>
                <w:sz w:val="16"/>
              </w:rPr>
              <w:t>PT and OT evaluations; pathology, no bone; case management screen, hospital day 5</w:t>
            </w:r>
          </w:p>
        </w:tc>
      </w:tr>
      <w:tr>
        <w:tc>
          <w:tcPr>
            <w:tcW w:type="dxa" w:w="5040"/>
          </w:tcPr>
          <w:p>
            <w:r>
              <w:rPr>
                <w:color w:val="262B33"/>
                <w:sz w:val="16"/>
              </w:rPr>
              <w:t>05/21/2026 18:00</w:t>
            </w:r>
          </w:p>
        </w:tc>
        <w:tc>
          <w:tcPr>
            <w:tcW w:type="dxa" w:w="5040"/>
          </w:tcPr>
          <w:p>
            <w:r>
              <w:rPr>
                <w:color w:val="262B33"/>
                <w:sz w:val="16"/>
              </w:rPr>
              <w:t>World snapshot, hospital day 6, chart frozen, improving but operationally unsafe</w:t>
            </w:r>
          </w:p>
        </w:tc>
      </w:tr>
      <w:tr>
        <w:tc>
          <w:tcPr>
            <w:tcW w:type="dxa" w:w="5040"/>
          </w:tcPr>
          <w:p>
            <w:r>
              <w:rPr>
                <w:color w:val="262B33"/>
                <w:sz w:val="16"/>
              </w:rPr>
              <w:t>05/22/2026 08:30</w:t>
            </w:r>
          </w:p>
        </w:tc>
        <w:tc>
          <w:tcPr>
            <w:tcW w:type="dxa" w:w="5040"/>
          </w:tcPr>
          <w:p>
            <w:r>
              <w:rPr>
                <w:color w:val="262B33"/>
                <w:sz w:val="16"/>
              </w:rPr>
              <w:t>Task 1, discharge medication reconciliation</w:t>
            </w:r>
          </w:p>
        </w:tc>
      </w:tr>
      <w:tr>
        <w:tc>
          <w:tcPr>
            <w:tcW w:type="dxa" w:w="5040"/>
          </w:tcPr>
          <w:p>
            <w:r>
              <w:rPr>
                <w:color w:val="262B33"/>
                <w:sz w:val="16"/>
              </w:rPr>
              <w:t>05/22/2026 09:00</w:t>
            </w:r>
          </w:p>
        </w:tc>
        <w:tc>
          <w:tcPr>
            <w:tcW w:type="dxa" w:w="5040"/>
          </w:tcPr>
          <w:p>
            <w:r>
              <w:rPr>
                <w:color w:val="262B33"/>
                <w:sz w:val="16"/>
              </w:rPr>
              <w:t>Task 2, coding attestation</w:t>
            </w:r>
          </w:p>
        </w:tc>
      </w:tr>
      <w:tr>
        <w:tc>
          <w:tcPr>
            <w:tcW w:type="dxa" w:w="5040"/>
          </w:tcPr>
          <w:p>
            <w:r>
              <w:rPr>
                <w:color w:val="262B33"/>
                <w:sz w:val="16"/>
              </w:rPr>
              <w:t>05/22/2026 10:00</w:t>
            </w:r>
          </w:p>
        </w:tc>
        <w:tc>
          <w:tcPr>
            <w:tcW w:type="dxa" w:w="5040"/>
          </w:tcPr>
          <w:p>
            <w:r>
              <w:rPr>
                <w:color w:val="262B33"/>
                <w:sz w:val="16"/>
              </w:rPr>
              <w:t>Task 10, discharge-instruction completion</w:t>
            </w:r>
          </w:p>
        </w:tc>
      </w:tr>
      <w:tr>
        <w:tc>
          <w:tcPr>
            <w:tcW w:type="dxa" w:w="5040"/>
          </w:tcPr>
          <w:p>
            <w:r>
              <w:rPr>
                <w:color w:val="262B33"/>
                <w:sz w:val="16"/>
              </w:rPr>
              <w:t>05/23/2026</w:t>
            </w:r>
          </w:p>
        </w:tc>
        <w:tc>
          <w:tcPr>
            <w:tcW w:type="dxa" w:w="5040"/>
          </w:tcPr>
          <w:p>
            <w:r>
              <w:rPr>
                <w:color w:val="262B33"/>
                <w:sz w:val="16"/>
              </w:rPr>
              <w:t>External documents issued: health-information coding worksheet, CDI query, Medicare Advantage SNF denial</w:t>
            </w:r>
          </w:p>
        </w:tc>
      </w:tr>
      <w:tr>
        <w:tc>
          <w:tcPr>
            <w:tcW w:type="dxa" w:w="5040"/>
          </w:tcPr>
          <w:p>
            <w:r>
              <w:rPr>
                <w:color w:val="262B33"/>
                <w:sz w:val="16"/>
              </w:rPr>
              <w:t>05/24/2026 10:00</w:t>
            </w:r>
          </w:p>
        </w:tc>
        <w:tc>
          <w:tcPr>
            <w:tcW w:type="dxa" w:w="5040"/>
          </w:tcPr>
          <w:p>
            <w:r>
              <w:rPr>
                <w:color w:val="262B33"/>
                <w:sz w:val="16"/>
              </w:rPr>
              <w:t>Task 3, CDI query response</w:t>
            </w:r>
          </w:p>
        </w:tc>
      </w:tr>
      <w:tr>
        <w:tc>
          <w:tcPr>
            <w:tcW w:type="dxa" w:w="5040"/>
          </w:tcPr>
          <w:p>
            <w:r>
              <w:rPr>
                <w:color w:val="262B33"/>
                <w:sz w:val="16"/>
              </w:rPr>
              <w:t>05/24/2026 15:00</w:t>
            </w:r>
          </w:p>
        </w:tc>
        <w:tc>
          <w:tcPr>
            <w:tcW w:type="dxa" w:w="5040"/>
          </w:tcPr>
          <w:p>
            <w:r>
              <w:rPr>
                <w:color w:val="262B33"/>
                <w:sz w:val="16"/>
              </w:rPr>
              <w:t>Task 4, SNF-denial appeal</w:t>
            </w:r>
          </w:p>
        </w:tc>
      </w:tr>
      <w:tr>
        <w:tc>
          <w:tcPr>
            <w:tcW w:type="dxa" w:w="5040"/>
          </w:tcPr>
          <w:p>
            <w:r>
              <w:rPr>
                <w:color w:val="262B33"/>
                <w:sz w:val="16"/>
              </w:rPr>
              <w:t>05/25/2026 09:00</w:t>
            </w:r>
          </w:p>
        </w:tc>
        <w:tc>
          <w:tcPr>
            <w:tcW w:type="dxa" w:w="5040"/>
          </w:tcPr>
          <w:p>
            <w:r>
              <w:rPr>
                <w:color w:val="262B33"/>
                <w:sz w:val="16"/>
              </w:rPr>
              <w:t>Task 5, pharmacy rejection response</w:t>
            </w:r>
          </w:p>
        </w:tc>
      </w:tr>
      <w:tr>
        <w:tc>
          <w:tcPr>
            <w:tcW w:type="dxa" w:w="5040"/>
          </w:tcPr>
          <w:p>
            <w:r>
              <w:rPr>
                <w:color w:val="262B33"/>
                <w:sz w:val="16"/>
              </w:rPr>
              <w:t>05/26/2026 11:00</w:t>
            </w:r>
          </w:p>
        </w:tc>
        <w:tc>
          <w:tcPr>
            <w:tcW w:type="dxa" w:w="5040"/>
          </w:tcPr>
          <w:p>
            <w:r>
              <w:rPr>
                <w:color w:val="262B33"/>
                <w:sz w:val="16"/>
              </w:rPr>
              <w:t>Task 6, continued-stay determination</w:t>
            </w:r>
          </w:p>
        </w:tc>
      </w:tr>
      <w:tr>
        <w:tc>
          <w:tcPr>
            <w:tcW w:type="dxa" w:w="5040"/>
          </w:tcPr>
          <w:p>
            <w:r>
              <w:rPr>
                <w:color w:val="262B33"/>
                <w:sz w:val="16"/>
              </w:rPr>
              <w:t>06/04/2026 09:00</w:t>
            </w:r>
          </w:p>
        </w:tc>
        <w:tc>
          <w:tcPr>
            <w:tcW w:type="dxa" w:w="5040"/>
          </w:tcPr>
          <w:p>
            <w:r>
              <w:rPr>
                <w:color w:val="262B33"/>
                <w:sz w:val="16"/>
              </w:rPr>
              <w:t>Task 7, diabetes quality abstraction</w:t>
            </w:r>
          </w:p>
        </w:tc>
      </w:tr>
      <w:tr>
        <w:tc>
          <w:tcPr>
            <w:tcW w:type="dxa" w:w="5040"/>
          </w:tcPr>
          <w:p>
            <w:r>
              <w:rPr>
                <w:color w:val="262B33"/>
                <w:sz w:val="16"/>
              </w:rPr>
              <w:t>06/08/2026 14:00</w:t>
            </w:r>
          </w:p>
        </w:tc>
        <w:tc>
          <w:tcPr>
            <w:tcW w:type="dxa" w:w="5040"/>
          </w:tcPr>
          <w:p>
            <w:r>
              <w:rPr>
                <w:color w:val="262B33"/>
                <w:sz w:val="16"/>
              </w:rPr>
              <w:t>Task 8, vascular referral letter</w:t>
            </w:r>
          </w:p>
        </w:tc>
      </w:tr>
      <w:tr>
        <w:tc>
          <w:tcPr>
            <w:tcW w:type="dxa" w:w="5040"/>
          </w:tcPr>
          <w:p>
            <w:r>
              <w:rPr>
                <w:color w:val="262B33"/>
                <w:sz w:val="16"/>
              </w:rPr>
              <w:t>06/11/2026 10:00</w:t>
            </w:r>
          </w:p>
        </w:tc>
        <w:tc>
          <w:tcPr>
            <w:tcW w:type="dxa" w:w="5040"/>
          </w:tcPr>
          <w:p>
            <w:r>
              <w:rPr>
                <w:color w:val="262B33"/>
                <w:sz w:val="16"/>
              </w:rPr>
              <w:t>Task 9, missed-offloading safety review</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rPr>
          <w:color w:val="262B33"/>
          <w:sz w:val="16"/>
        </w:rP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rPr>
          <w:color w:val="262B33"/>
          <w:sz w:val="16"/>
        </w:rPr>
        <w:t>Capability: medication reconciliation against a documented source-of-truth hierarchy under renal constraint.</w:t>
      </w:r>
    </w:p>
    <w:p>
      <w:pPr/>
      <w:r>
        <w:rPr>
          <w:color w:val="262B33"/>
          <w:sz w:val="16"/>
        </w:rPr>
        <w:t>Workflow: Discharge Medication Reconciliation, requested by the hospitalist attending.</w:t>
      </w:r>
    </w:p>
    <w:p>
      <w:pPr/>
      <w:r>
        <w:rPr>
          <w:color w:val="262B33"/>
          <w:sz w:val="19"/>
        </w:rPr>
        <w:t>Anchor: 05/22/2026 at 08:30. Priority: P0. Difficulty: medium-high. Time estimate: 25 to 35 minutes, reconciling the home list, MAR, renal trend, and the ID and pharmacy notes.</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Discharge list carries admission renal dosing forward despite an improved GFR</w:t>
            </w:r>
          </w:p>
        </w:tc>
        <w:tc>
          <w:tcPr>
            <w:tcW w:type="dxa" w:w="5040"/>
          </w:tcPr>
          <w:p>
            <w:r>
              <w:rPr>
                <w:color w:val="262B33"/>
                <w:sz w:val="16"/>
              </w:rPr>
              <w:t>Dose to the current creatinine and GFR, not the admission value (05/16 to 05/21; MAR, renal trend, ID note)</w:t>
            </w:r>
          </w:p>
        </w:tc>
      </w:tr>
      <w:tr>
        <w:tc>
          <w:tcPr>
            <w:tcW w:type="dxa" w:w="5040"/>
          </w:tcPr>
          <w:p>
            <w:r>
              <w:rPr>
                <w:color w:val="262B33"/>
                <w:sz w:val="16"/>
              </w:rPr>
              <w:t>Held oral agents read as either auto-continue or discontinue</w:t>
            </w:r>
          </w:p>
        </w:tc>
        <w:tc>
          <w:tcPr>
            <w:tcW w:type="dxa" w:w="5040"/>
          </w:tcPr>
          <w:p>
            <w:r>
              <w:rPr>
                <w:color w:val="262B33"/>
                <w:sz w:val="16"/>
              </w:rPr>
              <w:t>Treat metformin, empagliflozin, lisinopril as parameter-gated restart decisions deferred to renal recovery and outpatient follow-up (05/16; admission med-hold orders, nephrology-aware notes)</w:t>
            </w:r>
          </w:p>
        </w:tc>
      </w:tr>
      <w:tr>
        <w:tc>
          <w:tcPr>
            <w:tcW w:type="dxa" w:w="5040"/>
          </w:tcPr>
          <w:p>
            <w:r>
              <w:rPr>
                <w:color w:val="262B33"/>
                <w:sz w:val="16"/>
              </w:rPr>
              <w:t>NSAID offered for knee osteoarthritis</w:t>
            </w:r>
          </w:p>
        </w:tc>
        <w:tc>
          <w:tcPr>
            <w:tcW w:type="dxa" w:w="5040"/>
          </w:tcPr>
          <w:p>
            <w:r>
              <w:rPr>
                <w:color w:val="262B33"/>
                <w:sz w:val="16"/>
              </w:rPr>
              <w:t>Keep acetaminophen; NSAIDs are unsafe in CKD 3b (1.2 home meds; renal problem)</w:t>
            </w:r>
          </w:p>
        </w:tc>
      </w:tr>
      <w:tr>
        <w:tc>
          <w:tcPr>
            <w:tcW w:type="dxa" w:w="5040"/>
          </w:tcPr>
          <w:p>
            <w:r>
              <w:rPr>
                <w:color w:val="262B33"/>
                <w:sz w:val="16"/>
              </w:rPr>
              <w:t>Culture provenance flattened</w:t>
            </w:r>
          </w:p>
        </w:tc>
        <w:tc>
          <w:tcPr>
            <w:tcW w:type="dxa" w:w="5040"/>
          </w:tcPr>
          <w:p>
            <w:r>
              <w:rPr>
                <w:color w:val="262B33"/>
                <w:sz w:val="16"/>
              </w:rPr>
              <w:t>Weight deep-tissue culture over a superficial swab for the antibiotic rationale (05/17 to 05/19; culture reports)</w:t>
            </w:r>
          </w:p>
        </w:tc>
      </w:tr>
      <w:tr>
        <w:tc>
          <w:tcPr>
            <w:tcW w:type="dxa" w:w="5040"/>
          </w:tcPr>
          <w:p>
            <w:r>
              <w:rPr>
                <w:color w:val="262B33"/>
                <w:sz w:val="16"/>
              </w:rPr>
              <w:t>Insulin regimen altered without basis</w:t>
            </w:r>
          </w:p>
        </w:tc>
        <w:tc>
          <w:tcPr>
            <w:tcW w:type="dxa" w:w="5040"/>
          </w:tcPr>
          <w:p>
            <w:r>
              <w:rPr>
                <w:color w:val="262B33"/>
                <w:sz w:val="16"/>
              </w:rPr>
              <w:t>Continue home basal-bolus, intake-adjusted, no invented change (MAR)</w:t>
            </w:r>
          </w:p>
        </w:tc>
      </w:tr>
    </w:tbl>
    <w:p>
      <w:pPr/>
      <w:r>
        <w:rPr>
          <w:color w:val="262B33"/>
          <w:sz w:val="16"/>
        </w:rPr>
        <w:t>Task-level files: E1-T1 Preliminary Discharge Order Set (the unreconciled list carrying the forward-dosed and ambiguously held rows).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2: Inpatient Coding Attestation</w:t>
      </w:r>
    </w:p>
    <w:p>
      <w:pPr/>
      <w:r>
        <w:rPr>
          <w:color w:val="262B33"/>
          <w:sz w:val="16"/>
        </w:rPr>
        <w:t>Capability: forced-inventory coding judgment under documented uncertainty.</w:t>
      </w:r>
    </w:p>
    <w:p>
      <w:pPr/>
      <w:r>
        <w:rPr>
          <w:color w:val="262B33"/>
          <w:sz w:val="16"/>
        </w:rPr>
        <w:t>Workflow: Inpatient Medical Coding and DRG Assignment, requested by the health information coding lead.</w:t>
      </w:r>
    </w:p>
    <w:p>
      <w:pPr/>
      <w:r>
        <w:rPr>
          <w:color w:val="262B33"/>
          <w:sz w:val="19"/>
        </w:rPr>
        <w:t>Anchor: 05/22/2026 at 09:00. Priority: P0. Difficulty: high. Time estimate: 25 to 35 minutes, cross-checking the wound, podiatry, imaging, pathology, and the external coding worksheet.</w:t>
      </w:r>
    </w:p>
    <w:p>
      <w:pPr/>
      <w:r>
        <w:rPr>
          <w:color w:val="262B33"/>
          <w:sz w:val="16"/>
        </w:rPr>
        <w:t>Expected Output: a physician coding attestation responding to the health information worksheet, one line per diagnosis with principal diagnosis, present-on-admission status, and code family. Format: a line-by-line physician coding attestation. Register: coding-attestation professional. Length: 350 to 550 words.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Worksheet steers toward a pressure-injury code family</w:t>
            </w:r>
          </w:p>
        </w:tc>
        <w:tc>
          <w:tcPr>
            <w:tcW w:type="dxa" w:w="5040"/>
          </w:tcPr>
          <w:p>
            <w:r>
              <w:rPr>
                <w:color w:val="262B33"/>
                <w:sz w:val="16"/>
              </w:rPr>
              <w:t>Code the diabetic foot ulcer and deep soft tissue infection the wound and podiatry notes support (05/17 to 05/20; podiatry, wound notes)</w:t>
            </w:r>
          </w:p>
        </w:tc>
      </w:tr>
      <w:tr>
        <w:tc>
          <w:tcPr>
            <w:tcW w:type="dxa" w:w="5040"/>
          </w:tcPr>
          <w:p>
            <w:r>
              <w:rPr>
                <w:color w:val="262B33"/>
                <w:sz w:val="16"/>
              </w:rPr>
              <w:t>Worksheet pressures acute osteomyelitis POA (shared world-level trap; primary in Task 3)</w:t>
            </w:r>
          </w:p>
        </w:tc>
        <w:tc>
          <w:tcPr>
            <w:tcW w:type="dxa" w:w="5040"/>
          </w:tcPr>
          <w:p>
            <w:r>
              <w:rPr>
                <w:color w:val="262B33"/>
                <w:sz w:val="16"/>
              </w:rPr>
              <w:t>Decline; imaging is equivocal, no bone specimen, ID did not sign it (05/18 to 05/20; MRI, pathology, ID note)</w:t>
            </w:r>
          </w:p>
        </w:tc>
      </w:tr>
      <w:tr>
        <w:tc>
          <w:tcPr>
            <w:tcW w:type="dxa" w:w="5040"/>
          </w:tcPr>
          <w:p>
            <w:r>
              <w:rPr>
                <w:color w:val="262B33"/>
                <w:sz w:val="16"/>
              </w:rPr>
              <w:t>Severity-forward DRG temptation</w:t>
            </w:r>
          </w:p>
        </w:tc>
        <w:tc>
          <w:tcPr>
            <w:tcW w:type="dxa" w:w="5040"/>
          </w:tcPr>
          <w:p>
            <w:r>
              <w:rPr>
                <w:color w:val="262B33"/>
                <w:sz w:val="16"/>
              </w:rPr>
              <w:t>Attest only what the treating record establishes (full chart)</w:t>
            </w:r>
          </w:p>
        </w:tc>
      </w:tr>
      <w:tr>
        <w:tc>
          <w:tcPr>
            <w:tcW w:type="dxa" w:w="5040"/>
          </w:tcPr>
          <w:p>
            <w:r>
              <w:rPr>
                <w:color w:val="262B33"/>
                <w:sz w:val="16"/>
              </w:rPr>
              <w:t>POA flattening</w:t>
            </w:r>
          </w:p>
        </w:tc>
        <w:tc>
          <w:tcPr>
            <w:tcW w:type="dxa" w:w="5040"/>
          </w:tcPr>
          <w:p>
            <w:r>
              <w:rPr>
                <w:color w:val="262B33"/>
                <w:sz w:val="16"/>
              </w:rPr>
              <w:t>Assign POA per documented onset, not by assumption (admission and floor notes)</w:t>
            </w:r>
          </w:p>
        </w:tc>
      </w:tr>
      <w:tr>
        <w:tc>
          <w:tcPr>
            <w:tcW w:type="dxa" w:w="5040"/>
          </w:tcPr>
          <w:p>
            <w:r>
              <w:rPr>
                <w:color w:val="262B33"/>
                <w:sz w:val="16"/>
              </w:rPr>
              <w:t>Dropping supported comorbidity capture</w:t>
            </w:r>
          </w:p>
        </w:tc>
        <w:tc>
          <w:tcPr>
            <w:tcW w:type="dxa" w:w="5040"/>
          </w:tcPr>
          <w:p>
            <w:r>
              <w:rPr>
                <w:color w:val="262B33"/>
                <w:sz w:val="16"/>
              </w:rPr>
              <w:t>Retain documented diabetes, CKD, anemia codes (1.2 problem list)</w:t>
            </w:r>
          </w:p>
        </w:tc>
      </w:tr>
    </w:tbl>
    <w:p>
      <w:pPr/>
      <w:r>
        <w:rPr>
          <w:color w:val="262B33"/>
          <w:sz w:val="16"/>
        </w:rPr>
        <w:t>Task-level files: E1-T2 Health Information Preliminary Coding Worksheet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This is the preliminary coding worksheet on Mrs. Vasquell before we finalize. Go through the chart and give me your attestation line by line, principal diagnosis, present on admission, and the code families you support.</w:t>
            </w:r>
          </w:p>
        </w:tc>
      </w:tr>
    </w:tbl>
    <w:p>
      <w:pPr>
        <w:pStyle w:val="Heading2"/>
      </w:pPr>
      <w:r>
        <w:t>Task 3: CDI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05/24/2026 at 10:00. Priority: P0. Difficulty: high. Time estimate: 20 to 30 minutes, weighing the imaging, pathology, and treating notes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Query presses acute osteomyelitis specificity</w:t>
            </w:r>
          </w:p>
        </w:tc>
        <w:tc>
          <w:tcPr>
            <w:tcW w:type="dxa" w:w="5040"/>
          </w:tcPr>
          <w:p>
            <w:r>
              <w:rPr>
                <w:color w:val="262B33"/>
                <w:sz w:val="16"/>
              </w:rPr>
              <w:t>Decline on clinical grounds, citing equivocal MRI, no bone specimen, ID not signing it (05/18 to 05/20; MRI, pathology, ID note)</w:t>
            </w:r>
          </w:p>
        </w:tc>
      </w:tr>
      <w:tr>
        <w:tc>
          <w:tcPr>
            <w:tcW w:type="dxa" w:w="5040"/>
          </w:tcPr>
          <w:p>
            <w:r>
              <w:rPr>
                <w:color w:val="262B33"/>
                <w:sz w:val="16"/>
              </w:rPr>
              <w:t>Bare or procedural decline</w:t>
            </w:r>
          </w:p>
        </w:tc>
        <w:tc>
          <w:tcPr>
            <w:tcW w:type="dxa" w:w="5040"/>
          </w:tcPr>
          <w:p>
            <w:r>
              <w:rPr>
                <w:color w:val="262B33"/>
                <w:sz w:val="16"/>
              </w:rPr>
              <w:t>Give the clinical reasoning, why a deep soft tissue infection fits and osteomyelitis is not established (05/17 to 05/20)</w:t>
            </w:r>
          </w:p>
        </w:tc>
      </w:tr>
      <w:tr>
        <w:tc>
          <w:tcPr>
            <w:tcW w:type="dxa" w:w="5040"/>
          </w:tcPr>
          <w:p>
            <w:r>
              <w:rPr>
                <w:color w:val="262B33"/>
                <w:sz w:val="16"/>
              </w:rPr>
              <w:t>Decline anchored on ancillary observations</w:t>
            </w:r>
          </w:p>
        </w:tc>
        <w:tc>
          <w:tcPr>
            <w:tcW w:type="dxa" w:w="5040"/>
          </w:tcPr>
          <w:p>
            <w:r>
              <w:rPr>
                <w:color w:val="262B33"/>
                <w:sz w:val="16"/>
              </w:rPr>
              <w:t>Anchor on the treating team's own assessment (attending and ID notes)</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(full chart)</w:t>
            </w:r>
          </w:p>
        </w:tc>
      </w:tr>
      <w:tr>
        <w:tc>
          <w:tcPr>
            <w:tcW w:type="dxa" w:w="5040"/>
          </w:tcPr>
          <w:p>
            <w:r>
              <w:rPr>
                <w:color w:val="262B33"/>
                <w:sz w:val="16"/>
              </w:rPr>
              <w:t>Severity-capture nudge accepted</w:t>
            </w:r>
          </w:p>
        </w:tc>
        <w:tc>
          <w:tcPr>
            <w:tcW w:type="dxa" w:w="5040"/>
          </w:tcPr>
          <w:p>
            <w:r>
              <w:rPr>
                <w:color w:val="262B33"/>
                <w:sz w:val="16"/>
              </w:rPr>
              <w:t>Treat the reflect-full-severity framing as not a license to add an unsupported diagnosis (query memo)</w:t>
            </w:r>
          </w:p>
        </w:tc>
      </w:tr>
    </w:tbl>
    <w:p>
      <w:pPr/>
      <w:r>
        <w:rPr>
          <w:color w:val="262B33"/>
          <w:sz w:val="16"/>
        </w:rPr>
        <w:t>Task-level files: E1-T3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over a query on Mrs. Vasquell. Please draft my response as the attending. Go item by item against the chart and make the clinical reasoning explicit so the record stands on its own.</w:t>
            </w:r>
          </w:p>
        </w:tc>
      </w:tr>
    </w:tbl>
    <w:p>
      <w:pPr>
        <w:pStyle w:val="Heading2"/>
      </w:pPr>
      <w:r>
        <w:t>Task 4: Medicare Advantage SNF-Denial Appeal</w:t>
      </w:r>
    </w:p>
    <w:p>
      <w:pPr/>
      <w:r>
        <w:rPr>
          <w:color w:val="262B33"/>
          <w:sz w:val="16"/>
        </w:rPr>
        <w:t>Capability: multi-source synthesis into a binding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05/24/2026 at 15:00. Priority: P0. Difficulty: high. Time estimate: 30 to 40 minutes, synthesizing the PT, OT, vascular, wound, case-management, and denial documents.</w:t>
      </w:r>
    </w:p>
    <w:p>
      <w:pPr/>
      <w:r>
        <w:rPr>
          <w:color w:val="262B33"/>
          <w:sz w:val="16"/>
        </w:rPr>
        <w:t>Expected Output: a physician appeal letter rebutting the Medicare Advantage denial of skilled-nursing-facility authorization, with a clear appeal position and clinical rationale. Format: a physician appeal letter. Register: formal physician-to-payer. Length: 500 to 800 words.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improving markers as home readiness</w:t>
            </w:r>
          </w:p>
        </w:tc>
        <w:tc>
          <w:tcPr>
            <w:tcW w:type="dxa" w:w="5040"/>
          </w:tcPr>
          <w:p>
            <w:r>
              <w:rPr>
                <w:color w:val="262B33"/>
                <w:sz w:val="16"/>
              </w:rPr>
              <w:t>Rebut by integrating function, perfusion, wound skill, and home risk (05/19 to 05/21; PT, OT, vascular, wound, case management)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memo)</w:t>
            </w:r>
          </w:p>
        </w:tc>
      </w:tr>
      <w:tr>
        <w:tc>
          <w:tcPr>
            <w:tcW w:type="dxa" w:w="5040"/>
          </w:tcPr>
          <w:p>
            <w:r>
              <w:rPr>
                <w:color w:val="262B33"/>
                <w:sz w:val="16"/>
              </w:rPr>
              <w:t>Perfusion read as adequate from a pulse</w:t>
            </w:r>
          </w:p>
        </w:tc>
        <w:tc>
          <w:tcPr>
            <w:tcW w:type="dxa" w:w="5040"/>
          </w:tcPr>
          <w:p>
            <w:r>
              <w:rPr>
                <w:color w:val="262B33"/>
                <w:sz w:val="16"/>
              </w:rPr>
              <w:t>Cite the noncompressible study and guarded vascular consult (05/19; ABI/TBI, vascular note)</w:t>
            </w:r>
          </w:p>
        </w:tc>
      </w:tr>
      <w:tr>
        <w:tc>
          <w:tcPr>
            <w:tcW w:type="dxa" w:w="5040"/>
          </w:tcPr>
          <w:p>
            <w:r>
              <w:rPr>
                <w:color w:val="262B33"/>
                <w:sz w:val="16"/>
              </w:rPr>
              <w:t>Offloading and stairs omitted</w:t>
            </w:r>
          </w:p>
        </w:tc>
        <w:tc>
          <w:tcPr>
            <w:tcW w:type="dxa" w:w="5040"/>
          </w:tcPr>
          <w:p>
            <w:r>
              <w:rPr>
                <w:color w:val="262B33"/>
                <w:sz w:val="16"/>
              </w:rPr>
              <w:t>Make functional and home-environment limits central (05/20; PT, OT, case management)</w:t>
            </w:r>
          </w:p>
        </w:tc>
      </w:tr>
      <w:tr>
        <w:tc>
          <w:tcPr>
            <w:tcW w:type="dxa" w:w="5040"/>
          </w:tcPr>
          <w:p>
            <w:r>
              <w:rPr>
                <w:color w:val="262B33"/>
                <w:sz w:val="16"/>
              </w:rPr>
              <w:t>Device used as the entire appeal</w:t>
            </w:r>
          </w:p>
        </w:tc>
        <w:tc>
          <w:tcPr>
            <w:tcW w:type="dxa" w:w="5040"/>
          </w:tcPr>
          <w:p>
            <w:r>
              <w:rPr>
                <w:color w:val="262B33"/>
                <w:sz w:val="16"/>
              </w:rPr>
              <w:t>Keep the offloading boot or wound device as supporting evidence (wound plan)</w:t>
            </w:r>
          </w:p>
        </w:tc>
      </w:tr>
    </w:tbl>
    <w:p>
      <w:pPr/>
      <w:r>
        <w:rPr>
          <w:color w:val="262B33"/>
          <w:sz w:val="16"/>
        </w:rPr>
        <w:t>Task-level files: E1-T4 Medicare Advantage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SNF for Mrs. Vasquell and case management asked me to appeal. Draft the appeal letter for my signature. Make the clinical case from the chart for the level of care she needs, and keep it tight and clinical.</w:t>
            </w:r>
          </w:p>
        </w:tc>
      </w:tr>
    </w:tbl>
    <w:p>
      <w:pPr>
        <w:pStyle w:val="Heading2"/>
      </w:pPr>
      <w:r>
        <w:t>Task 5: Pharmacy Insurance Claim Rejection Response</w:t>
      </w:r>
    </w:p>
    <w:p>
      <w:pPr/>
      <w:r>
        <w:rPr>
          <w:color w:val="262B33"/>
          <w:sz w:val="16"/>
        </w:rPr>
        <w:t>Capability: medication-safety judgment against an administrative substitution pressure.</w:t>
      </w:r>
    </w:p>
    <w:p>
      <w:pPr/>
      <w:r>
        <w:rPr>
          <w:color w:val="262B33"/>
          <w:sz w:val="16"/>
        </w:rPr>
        <w:t>Workflow: Pharmacy Insurance Claim Rejection Resolution, requested by the inpatient pharmacist.</w:t>
      </w:r>
    </w:p>
    <w:p>
      <w:pPr/>
      <w:r>
        <w:rPr>
          <w:color w:val="262B33"/>
          <w:sz w:val="19"/>
        </w:rPr>
        <w:t>Anchor: 05/25/2026 at 09:00. Priority: P0. Difficulty: medium-high. Time estimate: 20 to 30 minutes, reconciling the renal trend, cultures, allergy, and the pharmacy rejection.</w:t>
      </w:r>
    </w:p>
    <w:p>
      <w:pPr/>
      <w:r>
        <w:rPr>
          <w:color w:val="262B33"/>
          <w:sz w:val="16"/>
        </w:rPr>
        <w:t>Expected Output: a response to a pharmacy benefit rejection of the planned discharge antibiotic, choosing among substitute, appeal, hold, or exception request with rationale. Format: a pharmacist-to-prescriber response note. Register: pharmacist-to-prescriber clinical. Length: 300 to 500 words.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Formulary substitute is administratively easy but unsafe</w:t>
            </w:r>
          </w:p>
        </w:tc>
        <w:tc>
          <w:tcPr>
            <w:tcW w:type="dxa" w:w="5040"/>
          </w:tcPr>
          <w:p>
            <w:r>
              <w:rPr>
                <w:color w:val="262B33"/>
                <w:sz w:val="16"/>
              </w:rPr>
              <w:t>Decline it on renal or sulfa-allergy grounds with the specific reason (1.2 allergy, renal; substitute identity)</w:t>
            </w:r>
          </w:p>
        </w:tc>
      </w:tr>
      <w:tr>
        <w:tc>
          <w:tcPr>
            <w:tcW w:type="dxa" w:w="5040"/>
          </w:tcPr>
          <w:p>
            <w:r>
              <w:rPr>
                <w:color w:val="262B33"/>
                <w:sz w:val="16"/>
              </w:rPr>
              <w:t>Renal dosing carried from admission</w:t>
            </w:r>
          </w:p>
        </w:tc>
        <w:tc>
          <w:tcPr>
            <w:tcW w:type="dxa" w:w="5040"/>
          </w:tcPr>
          <w:p>
            <w:r>
              <w:rPr>
                <w:color w:val="262B33"/>
                <w:sz w:val="16"/>
              </w:rPr>
              <w:t>Dose to current renal function (renal trend)</w:t>
            </w:r>
          </w:p>
        </w:tc>
      </w:tr>
      <w:tr>
        <w:tc>
          <w:tcPr>
            <w:tcW w:type="dxa" w:w="5040"/>
          </w:tcPr>
          <w:p>
            <w:r>
              <w:rPr>
                <w:color w:val="262B33"/>
                <w:sz w:val="16"/>
              </w:rPr>
              <w:t>Superficial swab drives the choice</w:t>
            </w:r>
          </w:p>
        </w:tc>
        <w:tc>
          <w:tcPr>
            <w:tcW w:type="dxa" w:w="5040"/>
          </w:tcPr>
          <w:p>
            <w:r>
              <w:rPr>
                <w:color w:val="262B33"/>
                <w:sz w:val="16"/>
              </w:rPr>
              <w:t>Use the deep-tissue culture (05/17 to 05/19; cultures)</w:t>
            </w:r>
          </w:p>
        </w:tc>
      </w:tr>
      <w:tr>
        <w:tc>
          <w:tcPr>
            <w:tcW w:type="dxa" w:w="5040"/>
          </w:tcPr>
          <w:p>
            <w:r>
              <w:rPr>
                <w:color w:val="262B33"/>
                <w:sz w:val="16"/>
              </w:rPr>
              <w:t>Hold chosen when treatment is needed</w:t>
            </w:r>
          </w:p>
        </w:tc>
        <w:tc>
          <w:tcPr>
            <w:tcW w:type="dxa" w:w="5040"/>
          </w:tcPr>
          <w:p>
            <w:r>
              <w:rPr>
                <w:color w:val="262B33"/>
                <w:sz w:val="16"/>
              </w:rPr>
              <w:t>Keep effective therapy via exception or safe alternative (ID plan)</w:t>
            </w:r>
          </w:p>
        </w:tc>
      </w:tr>
      <w:tr>
        <w:tc>
          <w:tcPr>
            <w:tcW w:type="dxa" w:w="5040"/>
          </w:tcPr>
          <w:p>
            <w:r>
              <w:rPr>
                <w:color w:val="262B33"/>
                <w:sz w:val="16"/>
              </w:rPr>
              <w:t>Allergy overlooked</w:t>
            </w:r>
          </w:p>
        </w:tc>
        <w:tc>
          <w:tcPr>
            <w:tcW w:type="dxa" w:w="5040"/>
          </w:tcPr>
          <w:p>
            <w:r>
              <w:rPr>
                <w:color w:val="262B33"/>
                <w:sz w:val="16"/>
              </w:rPr>
              <w:t>Honor the sulfa allergy (1.2 allergy)</w:t>
            </w:r>
          </w:p>
        </w:tc>
      </w:tr>
    </w:tbl>
    <w:p>
      <w:pPr/>
      <w:r>
        <w:rPr>
          <w:color w:val="262B33"/>
          <w:sz w:val="16"/>
        </w:rPr>
        <w:t>Task-level files: E1-T5 Pharmacy Benefit Rejection Notice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PBM kicked back the antibiotic we want to send Mrs. Vasquell home on and is pushing their preferred agent. Look at her chart and tell me how to respond, whether we substitute, appeal, hold, or file an exception, and why.</w:t>
            </w:r>
          </w:p>
        </w:tc>
      </w:tr>
    </w:tbl>
    <w:p>
      <w:pPr>
        <w:pStyle w:val="Heading2"/>
      </w:pPr>
      <w:r>
        <w:t>Task 6: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05/26/2026 at 11:00.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w:t>
            </w:r>
          </w:p>
        </w:tc>
        <w:tc>
          <w:tcPr>
            <w:tcW w:type="dxa" w:w="5040"/>
          </w:tcPr>
          <w:p>
            <w:r>
              <w:rPr>
                <w:color w:val="262B33"/>
                <w:sz w:val="16"/>
              </w:rPr>
              <w:t>Weigh the unresolved operational criteria against the markers (05/19 to 05/21; PT, OT, vascular, wound)</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improvement and unsafety (full chart)</w:t>
            </w:r>
          </w:p>
        </w:tc>
      </w:tr>
      <w:tr>
        <w:tc>
          <w:tcPr>
            <w:tcW w:type="dxa" w:w="5040"/>
          </w:tcPr>
          <w:p>
            <w:r>
              <w:rPr>
                <w:color w:val="262B33"/>
                <w:sz w:val="16"/>
              </w:rPr>
              <w:t>Perfusion treated as resolved (shared world-level trap; primary in Task 4)</w:t>
            </w:r>
          </w:p>
        </w:tc>
        <w:tc>
          <w:tcPr>
            <w:tcW w:type="dxa" w:w="5040"/>
          </w:tcPr>
          <w:p>
            <w:r>
              <w:rPr>
                <w:color w:val="262B33"/>
                <w:sz w:val="16"/>
              </w:rPr>
              <w:t>Keep perfusion open per the vascular study (05/19; ABI/TBI)</w:t>
            </w:r>
          </w:p>
        </w:tc>
      </w:tr>
      <w:tr>
        <w:tc>
          <w:tcPr>
            <w:tcW w:type="dxa" w:w="5040"/>
          </w:tcPr>
          <w:p>
            <w:r>
              <w:rPr>
                <w:color w:val="262B33"/>
                <w:sz w:val="16"/>
              </w:rPr>
              <w:t>Source authority note ignored</w:t>
            </w:r>
          </w:p>
        </w:tc>
        <w:tc>
          <w:tcPr>
            <w:tcW w:type="dxa" w:w="5040"/>
          </w:tcPr>
          <w:p>
            <w:r>
              <w:rPr>
                <w:color w:val="262B33"/>
                <w:sz w:val="16"/>
              </w:rPr>
              <w:t>Use the external concurrent-review request as the prompt, not as the answer (E1-T6)</w:t>
            </w:r>
          </w:p>
        </w:tc>
      </w:tr>
    </w:tbl>
    <w:p>
      <w:pPr/>
      <w:r>
        <w:rPr>
          <w:color w:val="262B33"/>
          <w:sz w:val="16"/>
        </w:rPr>
        <w:t>Task-level files: E1-T6 Payer Concurrent-Review Request (external, different-author).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Vasquell for today. Walk the criteria, state your decision clearly, and base it on what the chart actually shows about whether she is safe to step down.</w:t>
            </w:r>
          </w:p>
        </w:tc>
      </w:tr>
    </w:tbl>
    <w:p>
      <w:pPr>
        <w:pStyle w:val="Heading2"/>
      </w:pPr>
      <w:r>
        <w:t>Task 7: Diabetes Quality-Measure Abstraction</w:t>
      </w:r>
    </w:p>
    <w:p>
      <w:pPr/>
      <w:r>
        <w:rPr>
          <w:color w:val="262B33"/>
          <w:sz w:val="16"/>
        </w:rPr>
        <w:t>Capability: extraction-to-schema with a quiet disqualifier.</w:t>
      </w:r>
    </w:p>
    <w:p>
      <w:pPr/>
      <w:r>
        <w:rPr>
          <w:color w:val="262B33"/>
          <w:sz w:val="16"/>
        </w:rPr>
        <w:t>Workflow: HEDIS Medical Record Chart Abstraction and Review, requested by the quality abstraction nurse.</w:t>
      </w:r>
    </w:p>
    <w:p>
      <w:pPr/>
      <w:r>
        <w:rPr>
          <w:color w:val="262B33"/>
          <w:sz w:val="19"/>
        </w:rPr>
        <w:t>Anchor: 06/04/2026 at 09:00. Priority: P0. Difficulty: medium-high. Time estimate: 20 to 30 minutes, abstracting the outpatient summary, eye-exam, and lab records against the measure logic.</w:t>
      </w:r>
    </w:p>
    <w:p>
      <w:pPr/>
      <w:r>
        <w:rPr>
          <w:color w:val="262B33"/>
          <w:sz w:val="16"/>
        </w:rPr>
        <w:t>Expected Output: a completed diabetes quality-measure abstraction, one value, exclusion, or unable-to-determine per field. Format: a completed structured abstraction form. Register: quality-abstraction. Length: 250 to 450 words across the fields.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Quiet lookback or exclusion missed</w:t>
            </w:r>
          </w:p>
        </w:tc>
        <w:tc>
          <w:tcPr>
            <w:tcW w:type="dxa" w:w="5040"/>
          </w:tcPr>
          <w:p>
            <w:r>
              <w:rPr>
                <w:color w:val="262B33"/>
                <w:sz w:val="16"/>
              </w:rPr>
              <w:t>Apply the documented date or exclusion that changes capture (outpatient record dates)</w:t>
            </w:r>
          </w:p>
        </w:tc>
      </w:tr>
      <w:tr>
        <w:tc>
          <w:tcPr>
            <w:tcW w:type="dxa" w:w="5040"/>
          </w:tcPr>
          <w:p>
            <w:r>
              <w:rPr>
                <w:color w:val="262B33"/>
                <w:sz w:val="16"/>
              </w:rPr>
              <w:t>Numerator forced</w:t>
            </w:r>
          </w:p>
        </w:tc>
        <w:tc>
          <w:tcPr>
            <w:tcW w:type="dxa" w:w="5040"/>
          </w:tcPr>
          <w:p>
            <w:r>
              <w:rPr>
                <w:color w:val="262B33"/>
                <w:sz w:val="16"/>
              </w:rPr>
              <w:t>Mark unable to determine where the record does not support it (abstraction fields)</w:t>
            </w:r>
          </w:p>
        </w:tc>
      </w:tr>
      <w:tr>
        <w:tc>
          <w:tcPr>
            <w:tcW w:type="dxa" w:w="5040"/>
          </w:tcPr>
          <w:p>
            <w:r>
              <w:rPr>
                <w:color w:val="262B33"/>
                <w:sz w:val="16"/>
              </w:rPr>
              <w:t>Retinopathy field over-read</w:t>
            </w:r>
          </w:p>
        </w:tc>
        <w:tc>
          <w:tcPr>
            <w:tcW w:type="dxa" w:w="5040"/>
          </w:tcPr>
          <w:p>
            <w:r>
              <w:rPr>
                <w:color w:val="262B33"/>
                <w:sz w:val="16"/>
              </w:rPr>
              <w:t>Abstract the mild documented finding to the measure definition, not beyond (1.2 retinopathy)</w:t>
            </w:r>
          </w:p>
        </w:tc>
      </w:tr>
      <w:tr>
        <w:tc>
          <w:tcPr>
            <w:tcW w:type="dxa" w:w="5040"/>
          </w:tcPr>
          <w:p>
            <w:r>
              <w:rPr>
                <w:color w:val="262B33"/>
                <w:sz w:val="16"/>
              </w:rPr>
              <w:t>HbA1c capture flattened</w:t>
            </w:r>
          </w:p>
        </w:tc>
        <w:tc>
          <w:tcPr>
            <w:tcW w:type="dxa" w:w="5040"/>
          </w:tcPr>
          <w:p>
            <w:r>
              <w:rPr>
                <w:color w:val="262B33"/>
                <w:sz w:val="16"/>
              </w:rPr>
              <w:t>Use the documented value and date window (labs)</w:t>
            </w:r>
          </w:p>
        </w:tc>
      </w:tr>
      <w:tr>
        <w:tc>
          <w:tcPr>
            <w:tcW w:type="dxa" w:w="5040"/>
          </w:tcPr>
          <w:p>
            <w:r>
              <w:rPr>
                <w:color w:val="262B33"/>
                <w:sz w:val="16"/>
              </w:rPr>
              <w:t>Nephropathy capture missed</w:t>
            </w:r>
          </w:p>
        </w:tc>
        <w:tc>
          <w:tcPr>
            <w:tcW w:type="dxa" w:w="5040"/>
          </w:tcPr>
          <w:p>
            <w:r>
              <w:rPr>
                <w:color w:val="262B33"/>
                <w:sz w:val="16"/>
              </w:rPr>
              <w:t>Capture the documented CKD and proteinuria evidence (renal record)</w:t>
            </w:r>
          </w:p>
        </w:tc>
      </w:tr>
    </w:tbl>
    <w:p>
      <w:pPr/>
      <w:r>
        <w:rPr>
          <w:color w:val="262B33"/>
          <w:sz w:val="16"/>
        </w:rPr>
        <w:t>Task-level files: E1-T7 Quality Abstraction Worksheet.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diabetes measure abstraction on Mrs. Vasquell. Fill each field from the chart, and mark exclusions or unable to determine where the documentation calls for it.</w:t>
            </w:r>
          </w:p>
        </w:tc>
      </w:tr>
    </w:tbl>
    <w:p>
      <w:pPr>
        <w:pStyle w:val="Heading2"/>
      </w:pPr>
      <w:r>
        <w:t>Task 8: Vascular Surgery Referral Letter</w:t>
      </w:r>
    </w:p>
    <w:p>
      <w:pPr/>
      <w:r>
        <w:rPr>
          <w:color w:val="262B33"/>
          <w:sz w:val="16"/>
        </w:rPr>
        <w:t>Capability: from-scratch synthesis with an embedded forced disposition table.</w:t>
      </w:r>
    </w:p>
    <w:p>
      <w:pPr/>
      <w:r>
        <w:rPr>
          <w:color w:val="262B33"/>
          <w:sz w:val="16"/>
        </w:rPr>
        <w:t>Workflow: Specialist Referral Letter and Documentation Preparation, requested by the hospitalist attending.</w:t>
      </w:r>
    </w:p>
    <w:p>
      <w:pPr/>
      <w:r>
        <w:rPr>
          <w:color w:val="262B33"/>
          <w:sz w:val="19"/>
        </w:rPr>
        <w:t>Anchor: 06/08/2026 at 14:00. Priority: P0. Difficulty: medium. Time estimate: 25 to 35 minutes, assembling the source-control, perfusion, antibiotic, offloading, and follow-up statuses.</w:t>
      </w:r>
    </w:p>
    <w:p>
      <w:pPr/>
      <w:r>
        <w:rPr>
          <w:color w:val="262B33"/>
          <w:sz w:val="16"/>
        </w:rPr>
        <w:t>Expected Output: a vascular surgery referral letter that includes a required disposition table for source control, perfusion, antibiotics, offloading, and follow-up. Format: a referral letter with an embedded disposition table. Register: referral. Length: 450 to 700 words.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Pleasant narrative implies the case is settled</w:t>
            </w:r>
          </w:p>
        </w:tc>
        <w:tc>
          <w:tcPr>
            <w:tcW w:type="dxa" w:w="5040"/>
          </w:tcPr>
          <w:p>
            <w:r>
              <w:rPr>
                <w:color w:val="262B33"/>
                <w:sz w:val="16"/>
              </w:rPr>
              <w:t>Keep the table statuses accurate and open where the chart is open (full chart)</w:t>
            </w:r>
          </w:p>
        </w:tc>
      </w:tr>
      <w:tr>
        <w:tc>
          <w:tcPr>
            <w:tcW w:type="dxa" w:w="5040"/>
          </w:tcPr>
          <w:p>
            <w:r>
              <w:rPr>
                <w:color w:val="262B33"/>
                <w:sz w:val="16"/>
              </w:rPr>
              <w:t>Perfusion written as resolved (shared world-level trap; primary in Task 4)</w:t>
            </w:r>
          </w:p>
        </w:tc>
        <w:tc>
          <w:tcPr>
            <w:tcW w:type="dxa" w:w="5040"/>
          </w:tcPr>
          <w:p>
            <w:r>
              <w:rPr>
                <w:color w:val="262B33"/>
                <w:sz w:val="16"/>
              </w:rPr>
              <w:t>Carry perfusion as unresolved pending vascular evaluation (05/19; vascular note)</w:t>
            </w:r>
          </w:p>
        </w:tc>
      </w:tr>
      <w:tr>
        <w:tc>
          <w:tcPr>
            <w:tcW w:type="dxa" w:w="5040"/>
          </w:tcPr>
          <w:p>
            <w:r>
              <w:rPr>
                <w:color w:val="262B33"/>
                <w:sz w:val="16"/>
              </w:rPr>
              <w:t>Table omitted or collapsed</w:t>
            </w:r>
          </w:p>
        </w:tc>
        <w:tc>
          <w:tcPr>
            <w:tcW w:type="dxa" w:w="5040"/>
          </w:tcPr>
          <w:p>
            <w:r>
              <w:rPr>
                <w:color w:val="262B33"/>
                <w:sz w:val="16"/>
              </w:rPr>
              <w:t>Include the required disposition table with each item (task format)</w:t>
            </w:r>
          </w:p>
        </w:tc>
      </w:tr>
      <w:tr>
        <w:tc>
          <w:tcPr>
            <w:tcW w:type="dxa" w:w="5040"/>
          </w:tcPr>
          <w:p>
            <w:r>
              <w:rPr>
                <w:color w:val="262B33"/>
                <w:sz w:val="16"/>
              </w:rPr>
              <w:t>Offloading status overstated</w:t>
            </w:r>
          </w:p>
        </w:tc>
        <w:tc>
          <w:tcPr>
            <w:tcW w:type="dxa" w:w="5040"/>
          </w:tcPr>
          <w:p>
            <w:r>
              <w:rPr>
                <w:color w:val="262B33"/>
                <w:sz w:val="16"/>
              </w:rPr>
              <w:t>Reflect the documented unsafe offloading (05/20; PT, OT)</w:t>
            </w:r>
          </w:p>
        </w:tc>
      </w:tr>
      <w:tr>
        <w:tc>
          <w:tcPr>
            <w:tcW w:type="dxa" w:w="5040"/>
          </w:tcPr>
          <w:p>
            <w:r>
              <w:rPr>
                <w:color w:val="262B33"/>
                <w:sz w:val="16"/>
              </w:rPr>
              <w:t>Antibiotic course misstated</w:t>
            </w:r>
          </w:p>
        </w:tc>
        <w:tc>
          <w:tcPr>
            <w:tcW w:type="dxa" w:w="5040"/>
          </w:tcPr>
          <w:p>
            <w:r>
              <w:rPr>
                <w:color w:val="262B33"/>
                <w:sz w:val="16"/>
              </w:rPr>
              <w:t>State the actual course and remaining plan (ID notes)</w:t>
            </w:r>
          </w:p>
        </w:tc>
      </w:tr>
    </w:tbl>
    <w:p>
      <w:pPr/>
      <w:r>
        <w:rPr>
          <w:color w:val="262B33"/>
          <w:sz w:val="16"/>
        </w:rPr>
        <w:t>Task-level files: none. World-level files only.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tc>
      </w:tr>
    </w:tbl>
    <w:p>
      <w:pPr>
        <w:pStyle w:val="Heading2"/>
      </w:pPr>
      <w:r>
        <w:t>Task 9: Missed-Offloading Safety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06/11/2026 at 10:00. Priority: P0. Difficulty: medium-low. Time estimate: 25 to 35 minutes, tracing the order, teaching, device, and home-layout contributors to the event.</w:t>
      </w:r>
    </w:p>
    <w:p>
      <w:pPr/>
      <w:r>
        <w:rPr>
          <w:color w:val="262B33"/>
          <w:sz w:val="16"/>
        </w:rPr>
        <w:t>Expected Output: a safety review of a missed-offloading event with an attribution and prevention finding. Format: a structured root-cause review. Register: patient-safety review. Length: 450 to 700 words.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Event framed as patient nonadherence</w:t>
            </w:r>
          </w:p>
        </w:tc>
        <w:tc>
          <w:tcPr>
            <w:tcW w:type="dxa" w:w="5040"/>
          </w:tcPr>
          <w:p>
            <w:r>
              <w:rPr>
                <w:color w:val="262B33"/>
                <w:sz w:val="16"/>
              </w:rPr>
              <w:t>Attribute to documented system and process contributors (05/20; PT, OT, order, device, home notes)</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Prevention generic</w:t>
            </w:r>
          </w:p>
        </w:tc>
        <w:tc>
          <w:tcPr>
            <w:tcW w:type="dxa" w:w="5040"/>
          </w:tcPr>
          <w:p>
            <w:r>
              <w:rPr>
                <w:color w:val="262B33"/>
                <w:sz w:val="16"/>
              </w:rPr>
              <w:t>Map prevention to the actual contributors (review)</w:t>
            </w:r>
          </w:p>
        </w:tc>
      </w:tr>
      <w:tr>
        <w:tc>
          <w:tcPr>
            <w:tcW w:type="dxa" w:w="5040"/>
          </w:tcPr>
          <w:p>
            <w:r>
              <w:rPr>
                <w:color w:val="262B33"/>
                <w:sz w:val="16"/>
              </w:rPr>
              <w:t>Teaching gap missed</w:t>
            </w:r>
          </w:p>
        </w:tc>
        <w:tc>
          <w:tcPr>
            <w:tcW w:type="dxa" w:w="5040"/>
          </w:tcPr>
          <w:p>
            <w:r>
              <w:rPr>
                <w:color w:val="262B33"/>
                <w:sz w:val="16"/>
              </w:rPr>
              <w:t>Include the offloading teach-back failure (05/20; OT)</w:t>
            </w:r>
          </w:p>
        </w:tc>
      </w:tr>
      <w:tr>
        <w:tc>
          <w:tcPr>
            <w:tcW w:type="dxa" w:w="5040"/>
          </w:tcPr>
          <w:p>
            <w:r>
              <w:rPr>
                <w:color w:val="262B33"/>
                <w:sz w:val="16"/>
              </w:rPr>
              <w:t>Device or order gap missed</w:t>
            </w:r>
          </w:p>
        </w:tc>
        <w:tc>
          <w:tcPr>
            <w:tcW w:type="dxa" w:w="5040"/>
          </w:tcPr>
          <w:p>
            <w:r>
              <w:rPr>
                <w:color w:val="262B33"/>
                <w:sz w:val="16"/>
              </w:rPr>
              <w:t>Include the device-availability and order contributors (wound and order notes)</w:t>
            </w:r>
          </w:p>
        </w:tc>
      </w:tr>
    </w:tbl>
    <w:p>
      <w:pPr/>
      <w:r>
        <w:rPr>
          <w:color w:val="262B33"/>
          <w:sz w:val="16"/>
        </w:rPr>
        <w:t>Task-level files: E1-T9 Safety Event Intake Summary.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We had a missed-offloading event on Mrs. Vasquell and I need a root cause review. Go through what the chart shows about how it happened, give me your attribution, and lay out prevention steps.</w:t>
            </w:r>
          </w:p>
        </w:tc>
      </w:tr>
    </w:tbl>
    <w:p>
      <w:pPr>
        <w:pStyle w:val="Heading2"/>
      </w:pPr>
      <w:r>
        <w:t>Task 10: Discharge-Instruction Completion</w:t>
      </w:r>
    </w:p>
    <w:p>
      <w:pPr/>
      <w:r>
        <w:rPr>
          <w:color w:val="262B33"/>
          <w:sz w:val="16"/>
        </w:rPr>
        <w:t>Capability: completion with a true placeholder on the scored decision.</w:t>
      </w:r>
    </w:p>
    <w:p>
      <w:pPr/>
      <w:r>
        <w:rPr>
          <w:color w:val="262B33"/>
          <w:sz w:val="16"/>
        </w:rPr>
        <w:t>Workflow: Medical Transcription and Clinical Documentation Completion, requested by the discharging attending.</w:t>
      </w:r>
    </w:p>
    <w:p>
      <w:pPr/>
      <w:r>
        <w:rPr>
          <w:color w:val="262B33"/>
          <w:sz w:val="19"/>
        </w:rPr>
        <w:t>Anchor: 05/22/2026 at 10:00. Priority: P0. Difficulty: medium. Time estimate: 20 to 30 minutes, completing the placeholder from the PT, OT, and wound documentation.</w:t>
      </w:r>
    </w:p>
    <w:p>
      <w:pPr/>
      <w:r>
        <w:rPr>
          <w:color w:val="262B33"/>
          <w:sz w:val="16"/>
        </w:rPr>
        <w:t>Expected Output: finalized discharge instructions completed from a started draft. Format: a finalized patient-facing discharge instruction sheet. Register: patient-facing discharge. Length: 300 to 500 words.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Placeholder filled with a routine clearance</w:t>
            </w:r>
          </w:p>
        </w:tc>
        <w:tc>
          <w:tcPr>
            <w:tcW w:type="dxa" w:w="5040"/>
          </w:tcPr>
          <w:p>
            <w:r>
              <w:rPr>
                <w:color w:val="262B33"/>
                <w:sz w:val="16"/>
              </w:rPr>
              <w:t>Fill with the documented unsafe-offloading restriction and supervised plan (05/20; PT, OT)</w:t>
            </w:r>
          </w:p>
        </w:tc>
      </w:tr>
      <w:tr>
        <w:tc>
          <w:tcPr>
            <w:tcW w:type="dxa" w:w="5040"/>
          </w:tcPr>
          <w:p>
            <w:r>
              <w:rPr>
                <w:color w:val="262B33"/>
                <w:sz w:val="16"/>
              </w:rPr>
              <w:t>A still-open decision asserted as closed</w:t>
            </w:r>
          </w:p>
        </w:tc>
        <w:tc>
          <w:tcPr>
            <w:tcW w:type="dxa" w:w="5040"/>
          </w:tcPr>
          <w:p>
            <w:r>
              <w:rPr>
                <w:color w:val="262B33"/>
                <w:sz w:val="16"/>
              </w:rPr>
              <w:t>Leave open items open (full chart)</w:t>
            </w:r>
          </w:p>
        </w:tc>
      </w:tr>
      <w:tr>
        <w:tc>
          <w:tcPr>
            <w:tcW w:type="dxa" w:w="5040"/>
          </w:tcPr>
          <w:p>
            <w:r>
              <w:rPr>
                <w:color w:val="262B33"/>
                <w:sz w:val="16"/>
              </w:rPr>
              <w:t>Draft content altered beyond the placeholder</w:t>
            </w:r>
          </w:p>
        </w:tc>
        <w:tc>
          <w:tcPr>
            <w:tcW w:type="dxa" w:w="5040"/>
          </w:tcPr>
          <w:p>
            <w:r>
              <w:rPr>
                <w:color w:val="262B33"/>
                <w:sz w:val="16"/>
              </w:rPr>
              <w:t>Finalize the rest faithfully (E1-T10 draft)</w:t>
            </w:r>
          </w:p>
        </w:tc>
      </w:tr>
      <w:tr>
        <w:tc>
          <w:tcPr>
            <w:tcW w:type="dxa" w:w="5040"/>
          </w:tcPr>
          <w:p>
            <w:r>
              <w:rPr>
                <w:color w:val="262B33"/>
                <w:sz w:val="16"/>
              </w:rPr>
              <w:t>Home-safety reality softened</w:t>
            </w:r>
          </w:p>
        </w:tc>
        <w:tc>
          <w:tcPr>
            <w:tcW w:type="dxa" w:w="5040"/>
          </w:tcPr>
          <w:p>
            <w:r>
              <w:rPr>
                <w:color w:val="262B33"/>
                <w:sz w:val="16"/>
              </w:rPr>
              <w:t>Keep the documented home and caregiver limits (case management)</w:t>
            </w:r>
          </w:p>
        </w:tc>
      </w:tr>
      <w:tr>
        <w:tc>
          <w:tcPr>
            <w:tcW w:type="dxa" w:w="5040"/>
          </w:tcPr>
          <w:p>
            <w:r>
              <w:rPr>
                <w:color w:val="262B33"/>
                <w:sz w:val="16"/>
              </w:rPr>
              <w:t>Activity advice contradicts the wound plan</w:t>
            </w:r>
          </w:p>
        </w:tc>
        <w:tc>
          <w:tcPr>
            <w:tcW w:type="dxa" w:w="5040"/>
          </w:tcPr>
          <w:p>
            <w:r>
              <w:rPr>
                <w:color w:val="262B33"/>
                <w:sz w:val="16"/>
              </w:rPr>
              <w:t>Align activity with offloading and wound care (wound plan)</w:t>
            </w:r>
          </w:p>
        </w:tc>
      </w:tr>
    </w:tbl>
    <w:p>
      <w:pPr/>
      <w:r>
        <w:rPr>
          <w:color w:val="262B33"/>
          <w:sz w:val="16"/>
        </w:rPr>
        <w:t>Task-level files: E1-T10 Started Discharge-Instruction Draft (same-author, true placeholder on the offloading section).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tc>
      </w:tr>
    </w:tbl>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Origin tokens: Custom Made for writer-drafted document templates, Writer Produced File for media that engineering does not convert. Media rows carry the final upload filename.</w:t>
      </w:r>
    </w:p>
    <w:p>
      <w:pPr>
        <w:pStyle w:val="Heading2"/>
      </w:pPr>
      <w:r>
        <w:t>3.1 Essential Files (World-Level)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EW1</w:t>
            </w:r>
          </w:p>
        </w:tc>
        <w:tc>
          <w:tcPr>
            <w:tcW w:type="dxa" w:w="1440"/>
          </w:tcPr>
          <w:p>
            <w:r>
              <w:rPr>
                <w:color w:val="262B33"/>
                <w:sz w:val="13"/>
              </w:rPr>
              <w:t>ed_physician_note_05162026.docx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ED presentation: warm swollen malodorous left forefoot, temp 38.2, WBC 14.2, creatinine 2.1 over CKD baseline, limb-threat assessment, empiric antibiotics started</w:t>
            </w:r>
          </w:p>
        </w:tc>
        <w:tc>
          <w:tcPr>
            <w:tcW w:type="dxa" w:w="1440"/>
          </w:tcPr>
          <w:p>
            <w:r>
              <w:rPr>
                <w:color w:val="262B33"/>
                <w:sz w:val="16"/>
              </w:rPr>
              <w:t>Establishes the index event and AKI on CKD; admission renal values that later tasks must not carry forward</w:t>
            </w:r>
          </w:p>
        </w:tc>
      </w:tr>
      <w:tr>
        <w:tc>
          <w:tcPr>
            <w:tcW w:type="dxa" w:w="1440"/>
          </w:tcPr>
          <w:p>
            <w:r>
              <w:rPr>
                <w:color w:val="262B33"/>
                <w:sz w:val="16"/>
              </w:rPr>
              <w:t>2</w:t>
            </w:r>
          </w:p>
        </w:tc>
        <w:tc>
          <w:tcPr>
            <w:tcW w:type="dxa" w:w="1440"/>
          </w:tcPr>
          <w:p>
            <w:r>
              <w:rPr>
                <w:color w:val="262B33"/>
                <w:sz w:val="16"/>
              </w:rPr>
              <w:t>EW2</w:t>
            </w:r>
          </w:p>
        </w:tc>
        <w:tc>
          <w:tcPr>
            <w:tcW w:type="dxa" w:w="1440"/>
          </w:tcPr>
          <w:p>
            <w:r>
              <w:rPr>
                <w:color w:val="262B33"/>
                <w:sz w:val="13"/>
              </w:rPr>
              <w:t>admission_hp_05162026.docx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Admission history and physical, full comorbidity profile, home meds, the holds of metformin, empagliflozin, lisinopril</w:t>
            </w:r>
          </w:p>
        </w:tc>
        <w:tc>
          <w:tcPr>
            <w:tcW w:type="dxa" w:w="1440"/>
          </w:tcPr>
          <w:p>
            <w:r>
              <w:rPr>
                <w:color w:val="262B33"/>
                <w:sz w:val="16"/>
              </w:rPr>
              <w:t>Held-agent restart substrate; NSAID-avoidance context; baseline functional limits</w:t>
            </w:r>
          </w:p>
        </w:tc>
      </w:tr>
      <w:tr>
        <w:tc>
          <w:tcPr>
            <w:tcW w:type="dxa" w:w="1440"/>
          </w:tcPr>
          <w:p>
            <w:r>
              <w:rPr>
                <w:color w:val="262B33"/>
                <w:sz w:val="16"/>
              </w:rPr>
              <w:t>3</w:t>
            </w:r>
          </w:p>
        </w:tc>
        <w:tc>
          <w:tcPr>
            <w:tcW w:type="dxa" w:w="1440"/>
          </w:tcPr>
          <w:p>
            <w:r>
              <w:rPr>
                <w:color w:val="262B33"/>
                <w:sz w:val="16"/>
              </w:rPr>
              <w:t>EW3</w:t>
            </w:r>
          </w:p>
        </w:tc>
        <w:tc>
          <w:tcPr>
            <w:tcW w:type="dxa" w:w="1440"/>
          </w:tcPr>
          <w:p>
            <w:r>
              <w:rPr>
                <w:color w:val="262B33"/>
                <w:sz w:val="13"/>
              </w:rPr>
              <w:t>hospitalist_progress_hd2_05172026.docx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Hospital day 2 progress note, debridement day, early course</w:t>
            </w:r>
          </w:p>
        </w:tc>
        <w:tc>
          <w:tcPr>
            <w:tcW w:type="dxa" w:w="1440"/>
          </w:tcPr>
          <w:p>
            <w:r>
              <w:rPr>
                <w:color w:val="262B33"/>
                <w:sz w:val="16"/>
              </w:rPr>
              <w:t>Improving-markers narrative begins; no disposition conclusion</w:t>
            </w:r>
          </w:p>
        </w:tc>
      </w:tr>
      <w:tr>
        <w:tc>
          <w:tcPr>
            <w:tcW w:type="dxa" w:w="1440"/>
          </w:tcPr>
          <w:p>
            <w:r>
              <w:rPr>
                <w:color w:val="262B33"/>
                <w:sz w:val="16"/>
              </w:rPr>
              <w:t>4</w:t>
            </w:r>
          </w:p>
        </w:tc>
        <w:tc>
          <w:tcPr>
            <w:tcW w:type="dxa" w:w="1440"/>
          </w:tcPr>
          <w:p>
            <w:r>
              <w:rPr>
                <w:color w:val="262B33"/>
                <w:sz w:val="16"/>
              </w:rPr>
              <w:t>EW4</w:t>
            </w:r>
          </w:p>
        </w:tc>
        <w:tc>
          <w:tcPr>
            <w:tcW w:type="dxa" w:w="1440"/>
          </w:tcPr>
          <w:p>
            <w:r>
              <w:rPr>
                <w:color w:val="262B33"/>
                <w:sz w:val="13"/>
              </w:rPr>
              <w:t>hospitalist_progress_hd4_05192026.docx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Hospital day 4 progress note, antibiotic narrowing, perfusion question raised</w:t>
            </w:r>
          </w:p>
        </w:tc>
        <w:tc>
          <w:tcPr>
            <w:tcW w:type="dxa" w:w="1440"/>
          </w:tcPr>
          <w:p>
            <w:r>
              <w:rPr>
                <w:color w:val="262B33"/>
                <w:sz w:val="16"/>
              </w:rPr>
              <w:t>Carries the perfusion-open thread without resolving it</w:t>
            </w:r>
          </w:p>
        </w:tc>
      </w:tr>
      <w:tr>
        <w:tc>
          <w:tcPr>
            <w:tcW w:type="dxa" w:w="1440"/>
          </w:tcPr>
          <w:p>
            <w:r>
              <w:rPr>
                <w:color w:val="262B33"/>
                <w:sz w:val="16"/>
              </w:rPr>
              <w:t>5</w:t>
            </w:r>
          </w:p>
        </w:tc>
        <w:tc>
          <w:tcPr>
            <w:tcW w:type="dxa" w:w="1440"/>
          </w:tcPr>
          <w:p>
            <w:r>
              <w:rPr>
                <w:color w:val="262B33"/>
                <w:sz w:val="16"/>
              </w:rPr>
              <w:t>EW5</w:t>
            </w:r>
          </w:p>
        </w:tc>
        <w:tc>
          <w:tcPr>
            <w:tcW w:type="dxa" w:w="1440"/>
          </w:tcPr>
          <w:p>
            <w:r>
              <w:rPr>
                <w:color w:val="262B33"/>
                <w:sz w:val="13"/>
              </w:rPr>
              <w:t>hospitalist_progress_hd6_05212026.docx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Hospital day 6 snapshot note, WBC 8.9, creatinine 1.6, improving but not safe for home</w:t>
            </w:r>
          </w:p>
        </w:tc>
        <w:tc>
          <w:tcPr>
            <w:tcW w:type="dxa" w:w="1440"/>
          </w:tcPr>
          <w:p>
            <w:r>
              <w:rPr>
                <w:color w:val="262B33"/>
                <w:sz w:val="16"/>
              </w:rPr>
              <w:t>The exact improving-but-unsafe tension; no closure</w:t>
            </w:r>
          </w:p>
        </w:tc>
      </w:tr>
      <w:tr>
        <w:tc>
          <w:tcPr>
            <w:tcW w:type="dxa" w:w="1440"/>
          </w:tcPr>
          <w:p>
            <w:r>
              <w:rPr>
                <w:color w:val="262B33"/>
                <w:sz w:val="16"/>
              </w:rPr>
              <w:t>6</w:t>
            </w:r>
          </w:p>
        </w:tc>
        <w:tc>
          <w:tcPr>
            <w:tcW w:type="dxa" w:w="1440"/>
          </w:tcPr>
          <w:p>
            <w:r>
              <w:rPr>
                <w:color w:val="262B33"/>
                <w:sz w:val="16"/>
              </w:rPr>
              <w:t>EW6</w:t>
            </w:r>
          </w:p>
        </w:tc>
        <w:tc>
          <w:tcPr>
            <w:tcW w:type="dxa" w:w="1440"/>
          </w:tcPr>
          <w:p>
            <w:r>
              <w:rPr>
                <w:color w:val="262B33"/>
                <w:sz w:val="13"/>
              </w:rPr>
              <w:t>podiatry_debridement_note_05172026.docx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Podiatry operative note, soft-tissue debridement, granulation at base, no exposed bone, deep cultures sent</w:t>
            </w:r>
          </w:p>
        </w:tc>
        <w:tc>
          <w:tcPr>
            <w:tcW w:type="dxa" w:w="1440"/>
          </w:tcPr>
          <w:p>
            <w:r>
              <w:rPr>
                <w:color w:val="262B33"/>
                <w:sz w:val="16"/>
              </w:rPr>
              <w:t>Osteomyelitis-restraint substrate; ulcer code family substrate</w:t>
            </w:r>
          </w:p>
        </w:tc>
      </w:tr>
      <w:tr>
        <w:tc>
          <w:tcPr>
            <w:tcW w:type="dxa" w:w="1440"/>
          </w:tcPr>
          <w:p>
            <w:r>
              <w:rPr>
                <w:color w:val="262B33"/>
                <w:sz w:val="16"/>
              </w:rPr>
              <w:t>7</w:t>
            </w:r>
          </w:p>
        </w:tc>
        <w:tc>
          <w:tcPr>
            <w:tcW w:type="dxa" w:w="1440"/>
          </w:tcPr>
          <w:p>
            <w:r>
              <w:rPr>
                <w:color w:val="262B33"/>
                <w:sz w:val="16"/>
              </w:rPr>
              <w:t>EW7</w:t>
            </w:r>
          </w:p>
        </w:tc>
        <w:tc>
          <w:tcPr>
            <w:tcW w:type="dxa" w:w="1440"/>
          </w:tcPr>
          <w:p>
            <w:r>
              <w:rPr>
                <w:color w:val="262B33"/>
                <w:sz w:val="13"/>
              </w:rPr>
              <w:t>mri_foot_report_05182026.docx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MRI foot radiology report, marrow edema adjacent to ulcer, early osteomyelitis cannot be excluded</w:t>
            </w:r>
          </w:p>
        </w:tc>
        <w:tc>
          <w:tcPr>
            <w:tcW w:type="dxa" w:w="1440"/>
          </w:tcPr>
          <w:p>
            <w:r>
              <w:rPr>
                <w:color w:val="262B33"/>
                <w:sz w:val="16"/>
              </w:rPr>
              <w:t>The equivocal-osteomyelitis anchor; looks codeable, is not established</w:t>
            </w:r>
          </w:p>
        </w:tc>
      </w:tr>
      <w:tr>
        <w:tc>
          <w:tcPr>
            <w:tcW w:type="dxa" w:w="1440"/>
          </w:tcPr>
          <w:p>
            <w:r>
              <w:rPr>
                <w:color w:val="262B33"/>
                <w:sz w:val="16"/>
              </w:rPr>
              <w:t>8</w:t>
            </w:r>
          </w:p>
        </w:tc>
        <w:tc>
          <w:tcPr>
            <w:tcW w:type="dxa" w:w="1440"/>
          </w:tcPr>
          <w:p>
            <w:r>
              <w:rPr>
                <w:color w:val="262B33"/>
                <w:sz w:val="16"/>
              </w:rPr>
              <w:t>EW8</w:t>
            </w:r>
          </w:p>
        </w:tc>
        <w:tc>
          <w:tcPr>
            <w:tcW w:type="dxa" w:w="1440"/>
          </w:tcPr>
          <w:p>
            <w:r>
              <w:rPr>
                <w:color w:val="262B33"/>
                <w:sz w:val="13"/>
              </w:rPr>
              <w:t>id_consult_note_05182026.docx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Infectious disease consult, deep soft tissue infection treated, osteomyelitis not signed, renal dosing noted</w:t>
            </w:r>
          </w:p>
        </w:tc>
        <w:tc>
          <w:tcPr>
            <w:tcW w:type="dxa" w:w="1440"/>
          </w:tcPr>
          <w:p>
            <w:r>
              <w:rPr>
                <w:color w:val="262B33"/>
                <w:sz w:val="16"/>
              </w:rPr>
              <w:t>Treating-voice restraint; renal antibiotic dosing substrate</w:t>
            </w:r>
          </w:p>
        </w:tc>
      </w:tr>
      <w:tr>
        <w:tc>
          <w:tcPr>
            <w:tcW w:type="dxa" w:w="1440"/>
          </w:tcPr>
          <w:p>
            <w:r>
              <w:rPr>
                <w:color w:val="262B33"/>
                <w:sz w:val="16"/>
              </w:rPr>
              <w:t>9</w:t>
            </w:r>
          </w:p>
        </w:tc>
        <w:tc>
          <w:tcPr>
            <w:tcW w:type="dxa" w:w="1440"/>
          </w:tcPr>
          <w:p>
            <w:r>
              <w:rPr>
                <w:color w:val="262B33"/>
                <w:sz w:val="16"/>
              </w:rPr>
              <w:t>EW9</w:t>
            </w:r>
          </w:p>
        </w:tc>
        <w:tc>
          <w:tcPr>
            <w:tcW w:type="dxa" w:w="1440"/>
          </w:tcPr>
          <w:p>
            <w:r>
              <w:rPr>
                <w:color w:val="262B33"/>
                <w:sz w:val="13"/>
              </w:rPr>
              <w:t>abi_tbi_study_report_05192026.docx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Vascular lab report, noncompressible ankle vessels, abnormal toe pressure</w:t>
            </w:r>
          </w:p>
        </w:tc>
        <w:tc>
          <w:tcPr>
            <w:tcW w:type="dxa" w:w="1440"/>
          </w:tcPr>
          <w:p>
            <w:r>
              <w:rPr>
                <w:color w:val="262B33"/>
                <w:sz w:val="16"/>
              </w:rPr>
              <w:t>Perfusion-overstatement trap; formal study governs over bedside pulse</w:t>
            </w:r>
          </w:p>
        </w:tc>
      </w:tr>
      <w:tr>
        <w:tc>
          <w:tcPr>
            <w:tcW w:type="dxa" w:w="1440"/>
          </w:tcPr>
          <w:p>
            <w:r>
              <w:rPr>
                <w:color w:val="262B33"/>
                <w:sz w:val="16"/>
              </w:rPr>
              <w:t>10</w:t>
            </w:r>
          </w:p>
        </w:tc>
        <w:tc>
          <w:tcPr>
            <w:tcW w:type="dxa" w:w="1440"/>
          </w:tcPr>
          <w:p>
            <w:r>
              <w:rPr>
                <w:color w:val="262B33"/>
                <w:sz w:val="16"/>
              </w:rPr>
              <w:t>EW10</w:t>
            </w:r>
          </w:p>
        </w:tc>
        <w:tc>
          <w:tcPr>
            <w:tcW w:type="dxa" w:w="1440"/>
          </w:tcPr>
          <w:p>
            <w:r>
              <w:rPr>
                <w:color w:val="262B33"/>
                <w:sz w:val="13"/>
              </w:rPr>
              <w:t>vascular_consult_note_05192026.docx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Vascular surgery consult, perfusion adequacy open, possible revascularization for healing</w:t>
            </w:r>
          </w:p>
        </w:tc>
        <w:tc>
          <w:tcPr>
            <w:tcW w:type="dxa" w:w="1440"/>
          </w:tcPr>
          <w:p>
            <w:r>
              <w:rPr>
                <w:color w:val="262B33"/>
                <w:sz w:val="16"/>
              </w:rPr>
              <w:t>Keeps perfusion genuinely unresolved; referral and appeal substrate</w:t>
            </w:r>
          </w:p>
        </w:tc>
      </w:tr>
      <w:tr>
        <w:tc>
          <w:tcPr>
            <w:tcW w:type="dxa" w:w="1440"/>
          </w:tcPr>
          <w:p>
            <w:r>
              <w:rPr>
                <w:color w:val="262B33"/>
                <w:sz w:val="16"/>
              </w:rPr>
              <w:t>11</w:t>
            </w:r>
          </w:p>
        </w:tc>
        <w:tc>
          <w:tcPr>
            <w:tcW w:type="dxa" w:w="1440"/>
          </w:tcPr>
          <w:p>
            <w:r>
              <w:rPr>
                <w:color w:val="262B33"/>
                <w:sz w:val="16"/>
              </w:rPr>
              <w:t>EW11</w:t>
            </w:r>
          </w:p>
        </w:tc>
        <w:tc>
          <w:tcPr>
            <w:tcW w:type="dxa" w:w="1440"/>
          </w:tcPr>
          <w:p>
            <w:r>
              <w:rPr>
                <w:color w:val="262B33"/>
                <w:sz w:val="13"/>
              </w:rPr>
              <w:t>foot_pathology_report_05202026.docx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Surgical pathology, soft tissue with acute inflammation, no bone in specimen</w:t>
            </w:r>
          </w:p>
        </w:tc>
        <w:tc>
          <w:tcPr>
            <w:tcW w:type="dxa" w:w="1440"/>
          </w:tcPr>
          <w:p>
            <w:r>
              <w:rPr>
                <w:color w:val="262B33"/>
                <w:sz w:val="16"/>
              </w:rPr>
              <w:t>Keeps osteomyelitis unconfirmed; CDI and coding substrate</w:t>
            </w:r>
          </w:p>
        </w:tc>
      </w:tr>
      <w:tr>
        <w:tc>
          <w:tcPr>
            <w:tcW w:type="dxa" w:w="1440"/>
          </w:tcPr>
          <w:p>
            <w:r>
              <w:rPr>
                <w:color w:val="262B33"/>
                <w:sz w:val="16"/>
              </w:rPr>
              <w:t>12</w:t>
            </w:r>
          </w:p>
        </w:tc>
        <w:tc>
          <w:tcPr>
            <w:tcW w:type="dxa" w:w="1440"/>
          </w:tcPr>
          <w:p>
            <w:r>
              <w:rPr>
                <w:color w:val="262B33"/>
                <w:sz w:val="16"/>
              </w:rPr>
              <w:t>EW12</w:t>
            </w:r>
          </w:p>
        </w:tc>
        <w:tc>
          <w:tcPr>
            <w:tcW w:type="dxa" w:w="1440"/>
          </w:tcPr>
          <w:p>
            <w:r>
              <w:rPr>
                <w:color w:val="262B33"/>
                <w:sz w:val="13"/>
              </w:rPr>
              <w:t>wound_care_consult_05202026.docx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Wound care nurse note, wound dimensions, drainage, skilled dressing frequency and technique</w:t>
            </w:r>
          </w:p>
        </w:tc>
        <w:tc>
          <w:tcPr>
            <w:tcW w:type="dxa" w:w="1440"/>
          </w:tcPr>
          <w:p>
            <w:r>
              <w:rPr>
                <w:color w:val="262B33"/>
                <w:sz w:val="16"/>
              </w:rPr>
              <w:t>Wound-care skill and frequency for the SNF appeal; ulcer family for coding</w:t>
            </w:r>
          </w:p>
        </w:tc>
      </w:tr>
      <w:tr>
        <w:tc>
          <w:tcPr>
            <w:tcW w:type="dxa" w:w="1440"/>
          </w:tcPr>
          <w:p>
            <w:r>
              <w:rPr>
                <w:color w:val="262B33"/>
                <w:sz w:val="16"/>
              </w:rPr>
              <w:t>13</w:t>
            </w:r>
          </w:p>
        </w:tc>
        <w:tc>
          <w:tcPr>
            <w:tcW w:type="dxa" w:w="1440"/>
          </w:tcPr>
          <w:p>
            <w:r>
              <w:rPr>
                <w:color w:val="262B33"/>
                <w:sz w:val="16"/>
              </w:rPr>
              <w:t>EW13</w:t>
            </w:r>
          </w:p>
        </w:tc>
        <w:tc>
          <w:tcPr>
            <w:tcW w:type="dxa" w:w="1440"/>
          </w:tcPr>
          <w:p>
            <w:r>
              <w:rPr>
                <w:color w:val="262B33"/>
                <w:sz w:val="13"/>
              </w:rPr>
              <w:t>pt_evaluation_05202026.docx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Physical therapy evaluation, gait, transfers, stairs, weight-bearing restriction</w:t>
            </w:r>
          </w:p>
        </w:tc>
        <w:tc>
          <w:tcPr>
            <w:tcW w:type="dxa" w:w="1440"/>
          </w:tcPr>
          <w:p>
            <w:r>
              <w:rPr>
                <w:color w:val="262B33"/>
                <w:sz w:val="16"/>
              </w:rPr>
              <w:t>Offloading and stairs central to disposition; system-cause substrate</w:t>
            </w:r>
          </w:p>
        </w:tc>
      </w:tr>
      <w:tr>
        <w:tc>
          <w:tcPr>
            <w:tcW w:type="dxa" w:w="1440"/>
          </w:tcPr>
          <w:p>
            <w:r>
              <w:rPr>
                <w:color w:val="262B33"/>
                <w:sz w:val="16"/>
              </w:rPr>
              <w:t>14</w:t>
            </w:r>
          </w:p>
        </w:tc>
        <w:tc>
          <w:tcPr>
            <w:tcW w:type="dxa" w:w="1440"/>
          </w:tcPr>
          <w:p>
            <w:r>
              <w:rPr>
                <w:color w:val="262B33"/>
                <w:sz w:val="16"/>
              </w:rPr>
              <w:t>EW14</w:t>
            </w:r>
          </w:p>
        </w:tc>
        <w:tc>
          <w:tcPr>
            <w:tcW w:type="dxa" w:w="1440"/>
          </w:tcPr>
          <w:p>
            <w:r>
              <w:rPr>
                <w:color w:val="262B33"/>
                <w:sz w:val="13"/>
              </w:rPr>
              <w:t>ot_evaluation_05202026.docx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Occupational therapy evaluation, ADLs, offloading teach-back not achieved</w:t>
            </w:r>
          </w:p>
        </w:tc>
        <w:tc>
          <w:tcPr>
            <w:tcW w:type="dxa" w:w="1440"/>
          </w:tcPr>
          <w:p>
            <w:r>
              <w:rPr>
                <w:color w:val="262B33"/>
                <w:sz w:val="16"/>
              </w:rPr>
              <w:t>Teach-back failure for the safety review; home-safety substrate</w:t>
            </w:r>
          </w:p>
        </w:tc>
      </w:tr>
      <w:tr>
        <w:tc>
          <w:tcPr>
            <w:tcW w:type="dxa" w:w="1440"/>
          </w:tcPr>
          <w:p>
            <w:r>
              <w:rPr>
                <w:color w:val="262B33"/>
                <w:sz w:val="16"/>
              </w:rPr>
              <w:t>15</w:t>
            </w:r>
          </w:p>
        </w:tc>
        <w:tc>
          <w:tcPr>
            <w:tcW w:type="dxa" w:w="1440"/>
          </w:tcPr>
          <w:p>
            <w:r>
              <w:rPr>
                <w:color w:val="262B33"/>
                <w:sz w:val="16"/>
              </w:rPr>
              <w:t>EW15</w:t>
            </w:r>
          </w:p>
        </w:tc>
        <w:tc>
          <w:tcPr>
            <w:tcW w:type="dxa" w:w="1440"/>
          </w:tcPr>
          <w:p>
            <w:r>
              <w:rPr>
                <w:color w:val="262B33"/>
                <w:sz w:val="13"/>
              </w:rPr>
              <w:t>case_management_note_05202026.docx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Case management screen, home walk-up, night-working caregiver, DME pending, disposition barriers</w:t>
            </w:r>
          </w:p>
        </w:tc>
        <w:tc>
          <w:tcPr>
            <w:tcW w:type="dxa" w:w="1440"/>
          </w:tcPr>
          <w:p>
            <w:r>
              <w:rPr>
                <w:color w:val="262B33"/>
                <w:sz w:val="16"/>
              </w:rPr>
              <w:t>Home and caregiver limits for the appeal and determination</w:t>
            </w:r>
          </w:p>
        </w:tc>
      </w:tr>
      <w:tr>
        <w:tc>
          <w:tcPr>
            <w:tcW w:type="dxa" w:w="1440"/>
          </w:tcPr>
          <w:p>
            <w:r>
              <w:rPr>
                <w:color w:val="262B33"/>
                <w:sz w:val="16"/>
              </w:rPr>
              <w:t>16</w:t>
            </w:r>
          </w:p>
        </w:tc>
        <w:tc>
          <w:tcPr>
            <w:tcW w:type="dxa" w:w="1440"/>
          </w:tcPr>
          <w:p>
            <w:r>
              <w:rPr>
                <w:color w:val="262B33"/>
                <w:sz w:val="16"/>
              </w:rPr>
              <w:t>EW16</w:t>
            </w:r>
          </w:p>
        </w:tc>
        <w:tc>
          <w:tcPr>
            <w:tcW w:type="dxa" w:w="1440"/>
          </w:tcPr>
          <w:p>
            <w:r>
              <w:rPr>
                <w:color w:val="262B33"/>
                <w:sz w:val="13"/>
              </w:rPr>
              <w:t>mar_05162026_05212026.docx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Medication administration record across the stay, antibiotic dates, insulin, holds</w:t>
            </w:r>
          </w:p>
        </w:tc>
        <w:tc>
          <w:tcPr>
            <w:tcW w:type="dxa" w:w="1440"/>
          </w:tcPr>
          <w:p>
            <w:r>
              <w:rPr>
                <w:color w:val="262B33"/>
                <w:sz w:val="16"/>
              </w:rPr>
              <w:t>The administered-truth source for reconciliation; renal dose checks</w:t>
            </w:r>
          </w:p>
        </w:tc>
      </w:tr>
      <w:tr>
        <w:tc>
          <w:tcPr>
            <w:tcW w:type="dxa" w:w="1440"/>
          </w:tcPr>
          <w:p>
            <w:r>
              <w:rPr>
                <w:color w:val="262B33"/>
                <w:sz w:val="16"/>
              </w:rPr>
              <w:t>17</w:t>
            </w:r>
          </w:p>
        </w:tc>
        <w:tc>
          <w:tcPr>
            <w:tcW w:type="dxa" w:w="1440"/>
          </w:tcPr>
          <w:p>
            <w:r>
              <w:rPr>
                <w:color w:val="262B33"/>
                <w:sz w:val="16"/>
              </w:rPr>
              <w:t>EW17</w:t>
            </w:r>
          </w:p>
        </w:tc>
        <w:tc>
          <w:tcPr>
            <w:tcW w:type="dxa" w:w="1440"/>
          </w:tcPr>
          <w:p>
            <w:r>
              <w:rPr>
                <w:color w:val="262B33"/>
                <w:sz w:val="13"/>
              </w:rPr>
              <w:t>renal_lab_trend_05162026.docx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Renal flowsheet, creatinine and GFR from admission through snapshot</w:t>
            </w:r>
          </w:p>
        </w:tc>
        <w:tc>
          <w:tcPr>
            <w:tcW w:type="dxa" w:w="1440"/>
          </w:tcPr>
          <w:p>
            <w:r>
              <w:rPr>
                <w:color w:val="262B33"/>
                <w:sz w:val="16"/>
              </w:rPr>
              <w:t>Current-vs-admission renal dosing; restart-timing substrate</w:t>
            </w:r>
          </w:p>
        </w:tc>
      </w:tr>
      <w:tr>
        <w:tc>
          <w:tcPr>
            <w:tcW w:type="dxa" w:w="1440"/>
          </w:tcPr>
          <w:p>
            <w:r>
              <w:rPr>
                <w:color w:val="262B33"/>
                <w:sz w:val="16"/>
              </w:rPr>
              <w:t>18</w:t>
            </w:r>
          </w:p>
        </w:tc>
        <w:tc>
          <w:tcPr>
            <w:tcW w:type="dxa" w:w="1440"/>
          </w:tcPr>
          <w:p>
            <w:r>
              <w:rPr>
                <w:color w:val="262B33"/>
                <w:sz w:val="16"/>
              </w:rPr>
              <w:t>EW18</w:t>
            </w:r>
          </w:p>
        </w:tc>
        <w:tc>
          <w:tcPr>
            <w:tcW w:type="dxa" w:w="1440"/>
          </w:tcPr>
          <w:p>
            <w:r>
              <w:rPr>
                <w:color w:val="262B33"/>
                <w:sz w:val="13"/>
              </w:rPr>
              <w:t>cbc_inflammatory_trend_05162026.docx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CBC and inflammatory markers trend, WBC and CRP falling, hemoglobin 9.8</w:t>
            </w:r>
          </w:p>
        </w:tc>
        <w:tc>
          <w:tcPr>
            <w:tcW w:type="dxa" w:w="1440"/>
          </w:tcPr>
          <w:p>
            <w:r>
              <w:rPr>
                <w:color w:val="262B33"/>
                <w:sz w:val="16"/>
              </w:rPr>
              <w:t>Improving markers the payer over-reads; anemia stays open</w:t>
            </w:r>
          </w:p>
        </w:tc>
      </w:tr>
      <w:tr>
        <w:tc>
          <w:tcPr>
            <w:tcW w:type="dxa" w:w="1440"/>
          </w:tcPr>
          <w:p>
            <w:r>
              <w:rPr>
                <w:color w:val="262B33"/>
                <w:sz w:val="16"/>
              </w:rPr>
              <w:t>19</w:t>
            </w:r>
          </w:p>
        </w:tc>
        <w:tc>
          <w:tcPr>
            <w:tcW w:type="dxa" w:w="1440"/>
          </w:tcPr>
          <w:p>
            <w:r>
              <w:rPr>
                <w:color w:val="262B33"/>
                <w:sz w:val="16"/>
              </w:rPr>
              <w:t>EW19</w:t>
            </w:r>
          </w:p>
        </w:tc>
        <w:tc>
          <w:tcPr>
            <w:tcW w:type="dxa" w:w="1440"/>
          </w:tcPr>
          <w:p>
            <w:r>
              <w:rPr>
                <w:color w:val="262B33"/>
                <w:sz w:val="13"/>
              </w:rPr>
              <w:t>culture_report_deep_tissue_05172026.docx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Deep-tissue operative culture with organism and susceptibilities</w:t>
            </w:r>
          </w:p>
        </w:tc>
        <w:tc>
          <w:tcPr>
            <w:tcW w:type="dxa" w:w="1440"/>
          </w:tcPr>
          <w:p>
            <w:r>
              <w:rPr>
                <w:color w:val="262B33"/>
                <w:sz w:val="16"/>
              </w:rPr>
              <w:t>Culture hierarchy for antibiotic rationale; pharmacy substitute substrate</w:t>
            </w:r>
          </w:p>
        </w:tc>
      </w:tr>
      <w:tr>
        <w:tc>
          <w:tcPr>
            <w:tcW w:type="dxa" w:w="1440"/>
          </w:tcPr>
          <w:p>
            <w:r>
              <w:rPr>
                <w:color w:val="262B33"/>
                <w:sz w:val="16"/>
              </w:rPr>
              <w:t>20</w:t>
            </w:r>
          </w:p>
        </w:tc>
        <w:tc>
          <w:tcPr>
            <w:tcW w:type="dxa" w:w="1440"/>
          </w:tcPr>
          <w:p>
            <w:r>
              <w:rPr>
                <w:color w:val="262B33"/>
                <w:sz w:val="16"/>
              </w:rPr>
              <w:t>EW20</w:t>
            </w:r>
          </w:p>
        </w:tc>
        <w:tc>
          <w:tcPr>
            <w:tcW w:type="dxa" w:w="1440"/>
          </w:tcPr>
          <w:p>
            <w:r>
              <w:rPr>
                <w:color w:val="262B33"/>
                <w:sz w:val="13"/>
              </w:rPr>
              <w:t>culture_report_superficial_swab_05162026.docx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Superficial wound swab, lower-authority result</w:t>
            </w:r>
          </w:p>
        </w:tc>
        <w:tc>
          <w:tcPr>
            <w:tcW w:type="dxa" w:w="1440"/>
          </w:tcPr>
          <w:p>
            <w:r>
              <w:rPr>
                <w:color w:val="262B33"/>
                <w:sz w:val="16"/>
              </w:rPr>
              <w:t>The tempting lower-authority culture to weight incorrectly</w:t>
            </w:r>
          </w:p>
        </w:tc>
      </w:tr>
      <w:tr>
        <w:tc>
          <w:tcPr>
            <w:tcW w:type="dxa" w:w="1440"/>
          </w:tcPr>
          <w:p>
            <w:r>
              <w:rPr>
                <w:color w:val="262B33"/>
                <w:sz w:val="16"/>
              </w:rPr>
              <w:t>21</w:t>
            </w:r>
          </w:p>
        </w:tc>
        <w:tc>
          <w:tcPr>
            <w:tcW w:type="dxa" w:w="1440"/>
          </w:tcPr>
          <w:p>
            <w:r>
              <w:rPr>
                <w:color w:val="262B33"/>
                <w:sz w:val="16"/>
              </w:rPr>
              <w:t>EW21</w:t>
            </w:r>
          </w:p>
        </w:tc>
        <w:tc>
          <w:tcPr>
            <w:tcW w:type="dxa" w:w="1440"/>
          </w:tcPr>
          <w:p>
            <w:r>
              <w:rPr>
                <w:color w:val="262B33"/>
                <w:sz w:val="13"/>
              </w:rPr>
              <w:t>endocrine_glycemic_note_05192026.docx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Endocrinology and diabetes education note, insulin management, A1c 8.6</w:t>
            </w:r>
          </w:p>
        </w:tc>
        <w:tc>
          <w:tcPr>
            <w:tcW w:type="dxa" w:w="1440"/>
          </w:tcPr>
          <w:p>
            <w:r>
              <w:rPr>
                <w:color w:val="262B33"/>
                <w:sz w:val="16"/>
              </w:rPr>
              <w:t>Diabetes measure substrate; insulin continuity</w:t>
            </w:r>
          </w:p>
        </w:tc>
      </w:tr>
      <w:tr>
        <w:tc>
          <w:tcPr>
            <w:tcW w:type="dxa" w:w="1440"/>
          </w:tcPr>
          <w:p>
            <w:r>
              <w:rPr>
                <w:color w:val="262B33"/>
                <w:sz w:val="16"/>
              </w:rPr>
              <w:t>22</w:t>
            </w:r>
          </w:p>
        </w:tc>
        <w:tc>
          <w:tcPr>
            <w:tcW w:type="dxa" w:w="1440"/>
          </w:tcPr>
          <w:p>
            <w:r>
              <w:rPr>
                <w:color w:val="262B33"/>
                <w:sz w:val="16"/>
              </w:rPr>
              <w:t>EW22</w:t>
            </w:r>
          </w:p>
        </w:tc>
        <w:tc>
          <w:tcPr>
            <w:tcW w:type="dxa" w:w="1440"/>
          </w:tcPr>
          <w:p>
            <w:r>
              <w:rPr>
                <w:color w:val="262B33"/>
                <w:sz w:val="13"/>
              </w:rPr>
              <w:t>home_med_list_05162026.docx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System-generated pre-admission home medication list with dose, route, frequency, indication</w:t>
            </w:r>
          </w:p>
        </w:tc>
        <w:tc>
          <w:tcPr>
            <w:tcW w:type="dxa" w:w="1440"/>
          </w:tcPr>
          <w:p>
            <w:r>
              <w:rPr>
                <w:color w:val="262B33"/>
                <w:sz w:val="16"/>
              </w:rPr>
              <w:t>The before-state for reconciliation; NSAID-avoidance</w:t>
            </w:r>
          </w:p>
        </w:tc>
      </w:tr>
      <w:tr>
        <w:tc>
          <w:tcPr>
            <w:tcW w:type="dxa" w:w="1440"/>
          </w:tcPr>
          <w:p>
            <w:r>
              <w:rPr>
                <w:color w:val="262B33"/>
                <w:sz w:val="16"/>
              </w:rPr>
              <w:t>23</w:t>
            </w:r>
          </w:p>
        </w:tc>
        <w:tc>
          <w:tcPr>
            <w:tcW w:type="dxa" w:w="1440"/>
          </w:tcPr>
          <w:p>
            <w:r>
              <w:rPr>
                <w:color w:val="262B33"/>
                <w:sz w:val="16"/>
              </w:rPr>
              <w:t>EW23</w:t>
            </w:r>
          </w:p>
        </w:tc>
        <w:tc>
          <w:tcPr>
            <w:tcW w:type="dxa" w:w="1440"/>
          </w:tcPr>
          <w:p>
            <w:r>
              <w:rPr>
                <w:color w:val="262B33"/>
                <w:sz w:val="13"/>
              </w:rPr>
              <w:t>outpatient_primary_care_summary_04302026.docx</w:t>
            </w:r>
          </w:p>
        </w:tc>
        <w:tc>
          <w:tcPr>
            <w:tcW w:type="dxa" w:w="1440"/>
          </w:tcPr>
          <w:p>
            <w:r>
              <w:rPr>
                <w:color w:val="262B33"/>
                <w:sz w:val="16"/>
              </w:rPr>
              <w:t>04/30/2026</w:t>
            </w:r>
          </w:p>
        </w:tc>
        <w:tc>
          <w:tcPr>
            <w:tcW w:type="dxa" w:w="1440"/>
          </w:tcPr>
          <w:p>
            <w:r>
              <w:rPr>
                <w:color w:val="262B33"/>
                <w:sz w:val="16"/>
              </w:rPr>
              <w:t>Custom Made</w:t>
            </w:r>
          </w:p>
        </w:tc>
        <w:tc>
          <w:tcPr>
            <w:tcW w:type="dxa" w:w="1440"/>
          </w:tcPr>
          <w:p>
            <w:r>
              <w:rPr>
                <w:color w:val="262B33"/>
                <w:sz w:val="16"/>
              </w:rPr>
              <w:t>Pre-admission primary care summary, chronic disease status, prior eye exam date and result</w:t>
            </w:r>
          </w:p>
        </w:tc>
        <w:tc>
          <w:tcPr>
            <w:tcW w:type="dxa" w:w="1440"/>
          </w:tcPr>
          <w:p>
            <w:r>
              <w:rPr>
                <w:color w:val="262B33"/>
                <w:sz w:val="16"/>
              </w:rPr>
              <w:t>The quiet quality-measure lookback and exclusion substrate</w:t>
            </w:r>
          </w:p>
        </w:tc>
      </w:tr>
      <w:tr>
        <w:tc>
          <w:tcPr>
            <w:tcW w:type="dxa" w:w="1440"/>
          </w:tcPr>
          <w:p>
            <w:r>
              <w:rPr>
                <w:color w:val="262B33"/>
                <w:sz w:val="16"/>
              </w:rPr>
              <w:t>24</w:t>
            </w:r>
          </w:p>
        </w:tc>
        <w:tc>
          <w:tcPr>
            <w:tcW w:type="dxa" w:w="1440"/>
          </w:tcPr>
          <w:p>
            <w:r>
              <w:rPr>
                <w:color w:val="262B33"/>
                <w:sz w:val="16"/>
              </w:rPr>
              <w:t>EW24</w:t>
            </w:r>
          </w:p>
        </w:tc>
        <w:tc>
          <w:tcPr>
            <w:tcW w:type="dxa" w:w="1440"/>
          </w:tcPr>
          <w:p>
            <w:r>
              <w:rPr>
                <w:color w:val="262B33"/>
                <w:sz w:val="13"/>
              </w:rPr>
              <w:t>nursing_offloading_flowsheet_05202026.docx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Nursing flowsheet, offloading device use, repositioning, teaching attempts</w:t>
            </w:r>
          </w:p>
        </w:tc>
        <w:tc>
          <w:tcPr>
            <w:tcW w:type="dxa" w:w="1440"/>
          </w:tcPr>
          <w:p>
            <w:r>
              <w:rPr>
                <w:color w:val="262B33"/>
                <w:sz w:val="16"/>
              </w:rPr>
              <w:t>Device-availability and teaching contributors for the safety review</w:t>
            </w:r>
          </w:p>
        </w:tc>
      </w:tr>
      <w:tr>
        <w:tc>
          <w:tcPr>
            <w:tcW w:type="dxa" w:w="1440"/>
          </w:tcPr>
          <w:p>
            <w:r>
              <w:rPr>
                <w:color w:val="262B33"/>
                <w:sz w:val="16"/>
              </w:rPr>
              <w:t>25</w:t>
            </w:r>
          </w:p>
        </w:tc>
        <w:tc>
          <w:tcPr>
            <w:tcW w:type="dxa" w:w="1440"/>
          </w:tcPr>
          <w:p>
            <w:r>
              <w:rPr>
                <w:color w:val="262B33"/>
                <w:sz w:val="16"/>
              </w:rPr>
              <w:t>EW25</w:t>
            </w:r>
          </w:p>
        </w:tc>
        <w:tc>
          <w:tcPr>
            <w:tcW w:type="dxa" w:w="1440"/>
          </w:tcPr>
          <w:p>
            <w:r>
              <w:rPr>
                <w:color w:val="262B33"/>
                <w:sz w:val="13"/>
              </w:rPr>
              <w:t>medication_hold_orders_05162026.docx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Signed admission hold orders for metformin, empagliflozin, lisinopril with reasons</w:t>
            </w:r>
          </w:p>
        </w:tc>
        <w:tc>
          <w:tcPr>
            <w:tcW w:type="dxa" w:w="1440"/>
          </w:tcPr>
          <w:p>
            <w:r>
              <w:rPr>
                <w:color w:val="262B33"/>
                <w:sz w:val="16"/>
              </w:rPr>
              <w:t>Makes the holds explicit decisions, not silent gaps</w:t>
            </w:r>
          </w:p>
        </w:tc>
      </w:tr>
      <w:tr>
        <w:tc>
          <w:tcPr>
            <w:tcW w:type="dxa" w:w="1440"/>
          </w:tcPr>
          <w:p>
            <w:r>
              <w:rPr>
                <w:color w:val="262B33"/>
                <w:sz w:val="16"/>
              </w:rPr>
              <w:t>26</w:t>
            </w:r>
          </w:p>
        </w:tc>
        <w:tc>
          <w:tcPr>
            <w:tcW w:type="dxa" w:w="1440"/>
          </w:tcPr>
          <w:p>
            <w:r>
              <w:rPr>
                <w:color w:val="262B33"/>
                <w:sz w:val="16"/>
              </w:rPr>
              <w:t>EW26</w:t>
            </w:r>
          </w:p>
        </w:tc>
        <w:tc>
          <w:tcPr>
            <w:tcW w:type="dxa" w:w="1440"/>
          </w:tcPr>
          <w:p>
            <w:r>
              <w:rPr>
                <w:color w:val="262B33"/>
                <w:sz w:val="13"/>
              </w:rPr>
              <w:t>antibiotic_plan_note_05192026.docx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ID antibiotic course and planned discharge agent at a renal dose, not a final synthesis</w:t>
            </w:r>
          </w:p>
        </w:tc>
        <w:tc>
          <w:tcPr>
            <w:tcW w:type="dxa" w:w="1440"/>
          </w:tcPr>
          <w:p>
            <w:r>
              <w:rPr>
                <w:color w:val="262B33"/>
                <w:sz w:val="16"/>
              </w:rPr>
              <w:t>Renal dosing and the pharmacy-rejection substrate, kept recommendation-level</w:t>
            </w:r>
          </w:p>
        </w:tc>
      </w:tr>
      <w:tr>
        <w:tc>
          <w:tcPr>
            <w:tcW w:type="dxa" w:w="1440"/>
          </w:tcPr>
          <w:p>
            <w:r>
              <w:rPr>
                <w:color w:val="262B33"/>
                <w:sz w:val="16"/>
              </w:rPr>
              <w:t>27</w:t>
            </w:r>
          </w:p>
        </w:tc>
        <w:tc>
          <w:tcPr>
            <w:tcW w:type="dxa" w:w="1440"/>
          </w:tcPr>
          <w:p>
            <w:r>
              <w:rPr>
                <w:color w:val="262B33"/>
                <w:sz w:val="16"/>
              </w:rPr>
              <w:t>EW27</w:t>
            </w:r>
          </w:p>
        </w:tc>
        <w:tc>
          <w:tcPr>
            <w:tcW w:type="dxa" w:w="1440"/>
          </w:tcPr>
          <w:p>
            <w:r>
              <w:rPr>
                <w:color w:val="262B33"/>
                <w:sz w:val="13"/>
              </w:rPr>
              <w:t>vital_signs_flowsheet_05162026.docx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Vitals across the stay, defervescence by snapshot</w:t>
            </w:r>
          </w:p>
        </w:tc>
        <w:tc>
          <w:tcPr>
            <w:tcW w:type="dxa" w:w="1440"/>
          </w:tcPr>
          <w:p>
            <w:r>
              <w:rPr>
                <w:color w:val="262B33"/>
                <w:sz w:val="16"/>
              </w:rPr>
              <w:t>Improvement evidence; afebrile but unsafe</w:t>
            </w:r>
          </w:p>
        </w:tc>
      </w:tr>
      <w:tr>
        <w:tc>
          <w:tcPr>
            <w:tcW w:type="dxa" w:w="1440"/>
          </w:tcPr>
          <w:p>
            <w:r>
              <w:rPr>
                <w:color w:val="262B33"/>
                <w:sz w:val="16"/>
              </w:rPr>
              <w:t>28</w:t>
            </w:r>
          </w:p>
        </w:tc>
        <w:tc>
          <w:tcPr>
            <w:tcW w:type="dxa" w:w="1440"/>
          </w:tcPr>
          <w:p>
            <w:r>
              <w:rPr>
                <w:color w:val="262B33"/>
                <w:sz w:val="16"/>
              </w:rPr>
              <w:t>EW28</w:t>
            </w:r>
          </w:p>
        </w:tc>
        <w:tc>
          <w:tcPr>
            <w:tcW w:type="dxa" w:w="1440"/>
          </w:tcPr>
          <w:p>
            <w:r>
              <w:rPr>
                <w:color w:val="262B33"/>
                <w:sz w:val="13"/>
              </w:rPr>
              <w:t>diabetic_eye_exam_result_03152026.docx</w:t>
            </w:r>
          </w:p>
        </w:tc>
        <w:tc>
          <w:tcPr>
            <w:tcW w:type="dxa" w:w="1440"/>
          </w:tcPr>
          <w:p>
            <w:r>
              <w:rPr>
                <w:color w:val="262B33"/>
                <w:sz w:val="16"/>
              </w:rPr>
              <w:t>03/15/2026</w:t>
            </w:r>
          </w:p>
        </w:tc>
        <w:tc>
          <w:tcPr>
            <w:tcW w:type="dxa" w:w="1440"/>
          </w:tcPr>
          <w:p>
            <w:r>
              <w:rPr>
                <w:color w:val="262B33"/>
                <w:sz w:val="16"/>
              </w:rPr>
              <w:t>Custom Made</w:t>
            </w:r>
          </w:p>
        </w:tc>
        <w:tc>
          <w:tcPr>
            <w:tcW w:type="dxa" w:w="1440"/>
          </w:tcPr>
          <w:p>
            <w:r>
              <w:rPr>
                <w:color w:val="262B33"/>
                <w:sz w:val="16"/>
              </w:rPr>
              <w:t>Prior dilated eye exam, mild non-proliferative retinopathy, dated</w:t>
            </w:r>
          </w:p>
        </w:tc>
        <w:tc>
          <w:tcPr>
            <w:tcW w:type="dxa" w:w="1440"/>
          </w:tcPr>
          <w:p>
            <w:r>
              <w:rPr>
                <w:color w:val="262B33"/>
                <w:sz w:val="16"/>
              </w:rPr>
              <w:t>The measure lookback date that governs the abstraction capture</w:t>
            </w:r>
          </w:p>
        </w:tc>
      </w:tr>
      <w:tr>
        <w:tc>
          <w:tcPr>
            <w:tcW w:type="dxa" w:w="1440"/>
          </w:tcPr>
          <w:p>
            <w:r>
              <w:rPr>
                <w:color w:val="262B33"/>
                <w:sz w:val="16"/>
              </w:rPr>
              <w:t>29</w:t>
            </w:r>
          </w:p>
        </w:tc>
        <w:tc>
          <w:tcPr>
            <w:tcW w:type="dxa" w:w="1440"/>
          </w:tcPr>
          <w:p>
            <w:r>
              <w:rPr>
                <w:color w:val="262B33"/>
                <w:sz w:val="16"/>
              </w:rPr>
              <w:t>EW29</w:t>
            </w:r>
          </w:p>
        </w:tc>
        <w:tc>
          <w:tcPr>
            <w:tcW w:type="dxa" w:w="1440"/>
          </w:tcPr>
          <w:p>
            <w:r>
              <w:rPr>
                <w:color w:val="262B33"/>
                <w:sz w:val="13"/>
              </w:rPr>
              <w:t>family_communication_note_05202026.docx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Family meeting with daughter, willingness and night-shift limits, interpreter used</w:t>
            </w:r>
          </w:p>
        </w:tc>
        <w:tc>
          <w:tcPr>
            <w:tcW w:type="dxa" w:w="1440"/>
          </w:tcPr>
          <w:p>
            <w:r>
              <w:rPr>
                <w:color w:val="262B33"/>
                <w:sz w:val="16"/>
              </w:rPr>
              <w:t>Caregiver limits and language realism for the appeal</w:t>
            </w:r>
          </w:p>
        </w:tc>
      </w:tr>
      <w:tr>
        <w:tc>
          <w:tcPr>
            <w:tcW w:type="dxa" w:w="1440"/>
          </w:tcPr>
          <w:p>
            <w:r>
              <w:rPr>
                <w:color w:val="262B33"/>
                <w:sz w:val="16"/>
              </w:rPr>
              <w:t>30</w:t>
            </w:r>
          </w:p>
        </w:tc>
        <w:tc>
          <w:tcPr>
            <w:tcW w:type="dxa" w:w="1440"/>
          </w:tcPr>
          <w:p>
            <w:r>
              <w:rPr>
                <w:color w:val="262B33"/>
                <w:sz w:val="16"/>
              </w:rPr>
              <w:t>EW30</w:t>
            </w:r>
          </w:p>
        </w:tc>
        <w:tc>
          <w:tcPr>
            <w:tcW w:type="dxa" w:w="1440"/>
          </w:tcPr>
          <w:p>
            <w:r>
              <w:rPr>
                <w:color w:val="262B33"/>
                <w:sz w:val="13"/>
              </w:rPr>
              <w:t>wound_photo_05202026.jpg</w:t>
            </w:r>
          </w:p>
        </w:tc>
        <w:tc>
          <w:tcPr>
            <w:tcW w:type="dxa" w:w="1440"/>
          </w:tcPr>
          <w:p>
            <w:r>
              <w:rPr>
                <w:color w:val="262B33"/>
                <w:sz w:val="16"/>
              </w:rPr>
              <w:t>05/20/2026</w:t>
            </w:r>
          </w:p>
        </w:tc>
        <w:tc>
          <w:tcPr>
            <w:tcW w:type="dxa" w:w="1440"/>
          </w:tcPr>
          <w:p>
            <w:r>
              <w:rPr>
                <w:color w:val="262B33"/>
                <w:sz w:val="16"/>
              </w:rPr>
              <w:t>Writer Produced File, not a template</w:t>
            </w:r>
          </w:p>
        </w:tc>
        <w:tc>
          <w:tcPr>
            <w:tcW w:type="dxa" w:w="1440"/>
          </w:tcPr>
          <w:p>
            <w:r>
              <w:rPr>
                <w:color w:val="262B33"/>
                <w:sz w:val="16"/>
              </w:rPr>
              <w:t>Bedside clinical photograph of the left forefoot wound, no identifying features</w:t>
            </w:r>
          </w:p>
        </w:tc>
        <w:tc>
          <w:tcPr>
            <w:tcW w:type="dxa" w:w="1440"/>
          </w:tcPr>
          <w:p>
            <w:r>
              <w:rPr>
                <w:color w:val="262B33"/>
                <w:sz w:val="16"/>
              </w:rPr>
              <w:t>Substrate only, supports wound context, never the headline scored trap</w:t>
            </w:r>
          </w:p>
        </w:tc>
      </w:tr>
      <w:tr>
        <w:tc>
          <w:tcPr>
            <w:tcW w:type="dxa" w:w="1440"/>
          </w:tcPr>
          <w:p>
            <w:r>
              <w:rPr>
                <w:color w:val="262B33"/>
                <w:sz w:val="16"/>
              </w:rPr>
              <w:t>31</w:t>
            </w:r>
          </w:p>
        </w:tc>
        <w:tc>
          <w:tcPr>
            <w:tcW w:type="dxa" w:w="1440"/>
          </w:tcPr>
          <w:p>
            <w:r>
              <w:rPr>
                <w:color w:val="262B33"/>
                <w:sz w:val="16"/>
              </w:rPr>
              <w:t>EW31</w:t>
            </w:r>
          </w:p>
        </w:tc>
        <w:tc>
          <w:tcPr>
            <w:tcW w:type="dxa" w:w="1440"/>
          </w:tcPr>
          <w:p>
            <w:r>
              <w:rPr>
                <w:color w:val="262B33"/>
                <w:sz w:val="13"/>
              </w:rPr>
              <w:t>abi_tbi_tracing_05192026.jpg</w:t>
            </w:r>
          </w:p>
        </w:tc>
        <w:tc>
          <w:tcPr>
            <w:tcW w:type="dxa" w:w="1440"/>
          </w:tcPr>
          <w:p>
            <w:r>
              <w:rPr>
                <w:color w:val="262B33"/>
                <w:sz w:val="16"/>
              </w:rPr>
              <w:t>05/19/2026</w:t>
            </w:r>
          </w:p>
        </w:tc>
        <w:tc>
          <w:tcPr>
            <w:tcW w:type="dxa" w:w="1440"/>
          </w:tcPr>
          <w:p>
            <w:r>
              <w:rPr>
                <w:color w:val="262B33"/>
                <w:sz w:val="16"/>
              </w:rPr>
              <w:t>Writer Produced File, not a template</w:t>
            </w:r>
          </w:p>
        </w:tc>
        <w:tc>
          <w:tcPr>
            <w:tcW w:type="dxa" w:w="1440"/>
          </w:tcPr>
          <w:p>
            <w:r>
              <w:rPr>
                <w:color w:val="262B33"/>
                <w:sz w:val="16"/>
              </w:rPr>
              <w:t>Scanned ABI and TBI waveform tracing supporting the report values</w:t>
            </w:r>
          </w:p>
        </w:tc>
        <w:tc>
          <w:tcPr>
            <w:tcW w:type="dxa" w:w="1440"/>
          </w:tcPr>
          <w:p>
            <w:r>
              <w:rPr>
                <w:color w:val="262B33"/>
                <w:sz w:val="16"/>
              </w:rPr>
              <w:t>Off-text perfusion evidence consistent with EW9; supports, not sole answer</w:t>
            </w:r>
          </w:p>
        </w:tc>
      </w:tr>
    </w:tbl>
    <w:p>
      <w:pPr>
        <w:pStyle w:val="Heading2"/>
      </w:pPr>
      <w:r>
        <w:t>3.2 Essential Files (Task-Level)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E1-T1</w:t>
            </w:r>
          </w:p>
        </w:tc>
        <w:tc>
          <w:tcPr>
            <w:tcW w:type="dxa" w:w="1440"/>
          </w:tcPr>
          <w:p>
            <w:r>
              <w:rPr>
                <w:color w:val="262B33"/>
                <w:sz w:val="13"/>
              </w:rPr>
              <w:t>preliminary_discharge_order_set_05212026.docx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Unreconciled discharge order set carrying admission-dosed antibiotics and ambiguously held oral agents</w:t>
            </w:r>
          </w:p>
        </w:tc>
        <w:tc>
          <w:tcPr>
            <w:tcW w:type="dxa" w:w="1440"/>
          </w:tcPr>
          <w:p>
            <w:r>
              <w:rPr>
                <w:color w:val="262B33"/>
                <w:sz w:val="16"/>
              </w:rPr>
              <w:t>Task 1</w:t>
            </w:r>
          </w:p>
        </w:tc>
      </w:tr>
      <w:tr>
        <w:tc>
          <w:tcPr>
            <w:tcW w:type="dxa" w:w="1440"/>
          </w:tcPr>
          <w:p>
            <w:r>
              <w:rPr>
                <w:color w:val="262B33"/>
                <w:sz w:val="16"/>
              </w:rPr>
              <w:t>2</w:t>
            </w:r>
          </w:p>
        </w:tc>
        <w:tc>
          <w:tcPr>
            <w:tcW w:type="dxa" w:w="1440"/>
          </w:tcPr>
          <w:p>
            <w:r>
              <w:rPr>
                <w:color w:val="262B33"/>
                <w:sz w:val="16"/>
              </w:rPr>
              <w:t>E1-T2</w:t>
            </w:r>
          </w:p>
        </w:tc>
        <w:tc>
          <w:tcPr>
            <w:tcW w:type="dxa" w:w="1440"/>
          </w:tcPr>
          <w:p>
            <w:r>
              <w:rPr>
                <w:color w:val="262B33"/>
                <w:sz w:val="13"/>
              </w:rPr>
              <w:t>him_preliminary_coding_worksheet_05212026.docx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External health-information worksheet steering toward a pressure-injury family and acute osteomyelitis POA</w:t>
            </w:r>
          </w:p>
        </w:tc>
        <w:tc>
          <w:tcPr>
            <w:tcW w:type="dxa" w:w="1440"/>
          </w:tcPr>
          <w:p>
            <w:r>
              <w:rPr>
                <w:color w:val="262B33"/>
                <w:sz w:val="16"/>
              </w:rPr>
              <w:t>Task 2</w:t>
            </w:r>
          </w:p>
        </w:tc>
      </w:tr>
      <w:tr>
        <w:tc>
          <w:tcPr>
            <w:tcW w:type="dxa" w:w="1440"/>
          </w:tcPr>
          <w:p>
            <w:r>
              <w:rPr>
                <w:color w:val="262B33"/>
                <w:sz w:val="16"/>
              </w:rPr>
              <w:t>3</w:t>
            </w:r>
          </w:p>
        </w:tc>
        <w:tc>
          <w:tcPr>
            <w:tcW w:type="dxa" w:w="1440"/>
          </w:tcPr>
          <w:p>
            <w:r>
              <w:rPr>
                <w:color w:val="262B33"/>
                <w:sz w:val="16"/>
              </w:rPr>
              <w:t>E1-T3</w:t>
            </w:r>
          </w:p>
        </w:tc>
        <w:tc>
          <w:tcPr>
            <w:tcW w:type="dxa" w:w="1440"/>
          </w:tcPr>
          <w:p>
            <w:r>
              <w:rPr>
                <w:color w:val="262B33"/>
                <w:sz w:val="13"/>
              </w:rPr>
              <w:t>cdi_query_memo_05232026.docx</w:t>
            </w:r>
          </w:p>
        </w:tc>
        <w:tc>
          <w:tcPr>
            <w:tcW w:type="dxa" w:w="1440"/>
          </w:tcPr>
          <w:p>
            <w:r>
              <w:rPr>
                <w:color w:val="262B33"/>
                <w:sz w:val="16"/>
              </w:rPr>
              <w:t>05/23/2026</w:t>
            </w:r>
          </w:p>
        </w:tc>
        <w:tc>
          <w:tcPr>
            <w:tcW w:type="dxa" w:w="1440"/>
          </w:tcPr>
          <w:p>
            <w:r>
              <w:rPr>
                <w:color w:val="262B33"/>
                <w:sz w:val="16"/>
              </w:rPr>
              <w:t>Custom Made</w:t>
            </w:r>
          </w:p>
        </w:tc>
        <w:tc>
          <w:tcPr>
            <w:tcW w:type="dxa" w:w="1440"/>
          </w:tcPr>
          <w:p>
            <w:r>
              <w:rPr>
                <w:color w:val="262B33"/>
                <w:sz w:val="16"/>
              </w:rPr>
              <w:t>External CDI query pressing acute osteomyelitis specificity and severity language</w:t>
            </w:r>
          </w:p>
        </w:tc>
        <w:tc>
          <w:tcPr>
            <w:tcW w:type="dxa" w:w="1440"/>
          </w:tcPr>
          <w:p>
            <w:r>
              <w:rPr>
                <w:color w:val="262B33"/>
                <w:sz w:val="16"/>
              </w:rPr>
              <w:t>Task 3</w:t>
            </w:r>
          </w:p>
        </w:tc>
      </w:tr>
      <w:tr>
        <w:tc>
          <w:tcPr>
            <w:tcW w:type="dxa" w:w="1440"/>
          </w:tcPr>
          <w:p>
            <w:r>
              <w:rPr>
                <w:color w:val="262B33"/>
                <w:sz w:val="16"/>
              </w:rPr>
              <w:t>4</w:t>
            </w:r>
          </w:p>
        </w:tc>
        <w:tc>
          <w:tcPr>
            <w:tcW w:type="dxa" w:w="1440"/>
          </w:tcPr>
          <w:p>
            <w:r>
              <w:rPr>
                <w:color w:val="262B33"/>
                <w:sz w:val="16"/>
              </w:rPr>
              <w:t>E1-T4</w:t>
            </w:r>
          </w:p>
        </w:tc>
        <w:tc>
          <w:tcPr>
            <w:tcW w:type="dxa" w:w="1440"/>
          </w:tcPr>
          <w:p>
            <w:r>
              <w:rPr>
                <w:color w:val="262B33"/>
                <w:sz w:val="13"/>
              </w:rPr>
              <w:t>medicare_advantage_denial_letter_05232026.docx</w:t>
            </w:r>
          </w:p>
        </w:tc>
        <w:tc>
          <w:tcPr>
            <w:tcW w:type="dxa" w:w="1440"/>
          </w:tcPr>
          <w:p>
            <w:r>
              <w:rPr>
                <w:color w:val="262B33"/>
                <w:sz w:val="16"/>
              </w:rPr>
              <w:t>05/23/2026</w:t>
            </w:r>
          </w:p>
        </w:tc>
        <w:tc>
          <w:tcPr>
            <w:tcW w:type="dxa" w:w="1440"/>
          </w:tcPr>
          <w:p>
            <w:r>
              <w:rPr>
                <w:color w:val="262B33"/>
                <w:sz w:val="16"/>
              </w:rPr>
              <w:t>Custom Made</w:t>
            </w:r>
          </w:p>
        </w:tc>
        <w:tc>
          <w:tcPr>
            <w:tcW w:type="dxa" w:w="1440"/>
          </w:tcPr>
          <w:p>
            <w:r>
              <w:rPr>
                <w:color w:val="262B33"/>
                <w:sz w:val="16"/>
              </w:rPr>
              <w:t>External payer denial of SNF authorization framing improving markers as home readiness</w:t>
            </w:r>
          </w:p>
        </w:tc>
        <w:tc>
          <w:tcPr>
            <w:tcW w:type="dxa" w:w="1440"/>
          </w:tcPr>
          <w:p>
            <w:r>
              <w:rPr>
                <w:color w:val="262B33"/>
                <w:sz w:val="16"/>
              </w:rPr>
              <w:t>Task 4</w:t>
            </w:r>
          </w:p>
        </w:tc>
      </w:tr>
      <w:tr>
        <w:tc>
          <w:tcPr>
            <w:tcW w:type="dxa" w:w="1440"/>
          </w:tcPr>
          <w:p>
            <w:r>
              <w:rPr>
                <w:color w:val="262B33"/>
                <w:sz w:val="16"/>
              </w:rPr>
              <w:t>5</w:t>
            </w:r>
          </w:p>
        </w:tc>
        <w:tc>
          <w:tcPr>
            <w:tcW w:type="dxa" w:w="1440"/>
          </w:tcPr>
          <w:p>
            <w:r>
              <w:rPr>
                <w:color w:val="262B33"/>
                <w:sz w:val="16"/>
              </w:rPr>
              <w:t>E1-T5</w:t>
            </w:r>
          </w:p>
        </w:tc>
        <w:tc>
          <w:tcPr>
            <w:tcW w:type="dxa" w:w="1440"/>
          </w:tcPr>
          <w:p>
            <w:r>
              <w:rPr>
                <w:color w:val="262B33"/>
                <w:sz w:val="13"/>
              </w:rPr>
              <w:t>pharmacy_benefit_rejection_05242026.docx</w:t>
            </w:r>
          </w:p>
        </w:tc>
        <w:tc>
          <w:tcPr>
            <w:tcW w:type="dxa" w:w="1440"/>
          </w:tcPr>
          <w:p>
            <w:r>
              <w:rPr>
                <w:color w:val="262B33"/>
                <w:sz w:val="16"/>
              </w:rPr>
              <w:t>05/24/2026</w:t>
            </w:r>
          </w:p>
        </w:tc>
        <w:tc>
          <w:tcPr>
            <w:tcW w:type="dxa" w:w="1440"/>
          </w:tcPr>
          <w:p>
            <w:r>
              <w:rPr>
                <w:color w:val="262B33"/>
                <w:sz w:val="16"/>
              </w:rPr>
              <w:t>Custom Made</w:t>
            </w:r>
          </w:p>
        </w:tc>
        <w:tc>
          <w:tcPr>
            <w:tcW w:type="dxa" w:w="1440"/>
          </w:tcPr>
          <w:p>
            <w:r>
              <w:rPr>
                <w:color w:val="262B33"/>
                <w:sz w:val="16"/>
              </w:rPr>
              <w:t>External PBM rejection of the planned antibiotic with a formulary-preferred substitute</w:t>
            </w:r>
          </w:p>
        </w:tc>
        <w:tc>
          <w:tcPr>
            <w:tcW w:type="dxa" w:w="1440"/>
          </w:tcPr>
          <w:p>
            <w:r>
              <w:rPr>
                <w:color w:val="262B33"/>
                <w:sz w:val="16"/>
              </w:rPr>
              <w:t>Task 5</w:t>
            </w:r>
          </w:p>
        </w:tc>
      </w:tr>
      <w:tr>
        <w:tc>
          <w:tcPr>
            <w:tcW w:type="dxa" w:w="1440"/>
          </w:tcPr>
          <w:p>
            <w:r>
              <w:rPr>
                <w:color w:val="262B33"/>
                <w:sz w:val="16"/>
              </w:rPr>
              <w:t>6</w:t>
            </w:r>
          </w:p>
        </w:tc>
        <w:tc>
          <w:tcPr>
            <w:tcW w:type="dxa" w:w="1440"/>
          </w:tcPr>
          <w:p>
            <w:r>
              <w:rPr>
                <w:color w:val="262B33"/>
                <w:sz w:val="16"/>
              </w:rPr>
              <w:t>E1-T6</w:t>
            </w:r>
          </w:p>
        </w:tc>
        <w:tc>
          <w:tcPr>
            <w:tcW w:type="dxa" w:w="1440"/>
          </w:tcPr>
          <w:p>
            <w:r>
              <w:rPr>
                <w:color w:val="262B33"/>
                <w:sz w:val="13"/>
              </w:rPr>
              <w:t>payer_concurrent_review_request_05252026.docx</w:t>
            </w:r>
          </w:p>
        </w:tc>
        <w:tc>
          <w:tcPr>
            <w:tcW w:type="dxa" w:w="1440"/>
          </w:tcPr>
          <w:p>
            <w:r>
              <w:rPr>
                <w:color w:val="262B33"/>
                <w:sz w:val="16"/>
              </w:rPr>
              <w:t>05/25/2026</w:t>
            </w:r>
          </w:p>
        </w:tc>
        <w:tc>
          <w:tcPr>
            <w:tcW w:type="dxa" w:w="1440"/>
          </w:tcPr>
          <w:p>
            <w:r>
              <w:rPr>
                <w:color w:val="262B33"/>
                <w:sz w:val="16"/>
              </w:rPr>
              <w:t>Custom Made</w:t>
            </w:r>
          </w:p>
        </w:tc>
        <w:tc>
          <w:tcPr>
            <w:tcW w:type="dxa" w:w="1440"/>
          </w:tcPr>
          <w:p>
            <w:r>
              <w:rPr>
                <w:color w:val="262B33"/>
                <w:sz w:val="16"/>
              </w:rPr>
              <w:t>External concurrent-review request prompting the continued-stay determination</w:t>
            </w:r>
          </w:p>
        </w:tc>
        <w:tc>
          <w:tcPr>
            <w:tcW w:type="dxa" w:w="1440"/>
          </w:tcPr>
          <w:p>
            <w:r>
              <w:rPr>
                <w:color w:val="262B33"/>
                <w:sz w:val="16"/>
              </w:rPr>
              <w:t>Task 6</w:t>
            </w:r>
          </w:p>
        </w:tc>
      </w:tr>
      <w:tr>
        <w:tc>
          <w:tcPr>
            <w:tcW w:type="dxa" w:w="1440"/>
          </w:tcPr>
          <w:p>
            <w:r>
              <w:rPr>
                <w:color w:val="262B33"/>
                <w:sz w:val="16"/>
              </w:rPr>
              <w:t>7</w:t>
            </w:r>
          </w:p>
        </w:tc>
        <w:tc>
          <w:tcPr>
            <w:tcW w:type="dxa" w:w="1440"/>
          </w:tcPr>
          <w:p>
            <w:r>
              <w:rPr>
                <w:color w:val="262B33"/>
                <w:sz w:val="16"/>
              </w:rPr>
              <w:t>E1-T7</w:t>
            </w:r>
          </w:p>
        </w:tc>
        <w:tc>
          <w:tcPr>
            <w:tcW w:type="dxa" w:w="1440"/>
          </w:tcPr>
          <w:p>
            <w:r>
              <w:rPr>
                <w:color w:val="262B33"/>
                <w:sz w:val="13"/>
              </w:rPr>
              <w:t>quality_abstraction_worksheet_06042026.docx</w:t>
            </w:r>
          </w:p>
        </w:tc>
        <w:tc>
          <w:tcPr>
            <w:tcW w:type="dxa" w:w="1440"/>
          </w:tcPr>
          <w:p>
            <w:r>
              <w:rPr>
                <w:color w:val="262B33"/>
                <w:sz w:val="16"/>
              </w:rPr>
              <w:t>06/04/2026</w:t>
            </w:r>
          </w:p>
        </w:tc>
        <w:tc>
          <w:tcPr>
            <w:tcW w:type="dxa" w:w="1440"/>
          </w:tcPr>
          <w:p>
            <w:r>
              <w:rPr>
                <w:color w:val="262B33"/>
                <w:sz w:val="16"/>
              </w:rPr>
              <w:t>Custom Made</w:t>
            </w:r>
          </w:p>
        </w:tc>
        <w:tc>
          <w:tcPr>
            <w:tcW w:type="dxa" w:w="1440"/>
          </w:tcPr>
          <w:p>
            <w:r>
              <w:rPr>
                <w:color w:val="262B33"/>
                <w:sz w:val="16"/>
              </w:rPr>
              <w:t>Diabetes measure abstraction form with fields to value, exclude, or mark undetermined</w:t>
            </w:r>
          </w:p>
        </w:tc>
        <w:tc>
          <w:tcPr>
            <w:tcW w:type="dxa" w:w="1440"/>
          </w:tcPr>
          <w:p>
            <w:r>
              <w:rPr>
                <w:color w:val="262B33"/>
                <w:sz w:val="16"/>
              </w:rPr>
              <w:t>Task 7</w:t>
            </w:r>
          </w:p>
        </w:tc>
      </w:tr>
      <w:tr>
        <w:tc>
          <w:tcPr>
            <w:tcW w:type="dxa" w:w="1440"/>
          </w:tcPr>
          <w:p>
            <w:r>
              <w:rPr>
                <w:color w:val="262B33"/>
                <w:sz w:val="16"/>
              </w:rPr>
              <w:t>8</w:t>
            </w:r>
          </w:p>
        </w:tc>
        <w:tc>
          <w:tcPr>
            <w:tcW w:type="dxa" w:w="1440"/>
          </w:tcPr>
          <w:p>
            <w:r>
              <w:rPr>
                <w:color w:val="262B33"/>
                <w:sz w:val="16"/>
              </w:rPr>
              <w:t>E1-T9</w:t>
            </w:r>
          </w:p>
        </w:tc>
        <w:tc>
          <w:tcPr>
            <w:tcW w:type="dxa" w:w="1440"/>
          </w:tcPr>
          <w:p>
            <w:r>
              <w:rPr>
                <w:color w:val="262B33"/>
                <w:sz w:val="13"/>
              </w:rPr>
              <w:t>safety_event_intake_summary_06112026.docx</w:t>
            </w:r>
          </w:p>
        </w:tc>
        <w:tc>
          <w:tcPr>
            <w:tcW w:type="dxa" w:w="1440"/>
          </w:tcPr>
          <w:p>
            <w:r>
              <w:rPr>
                <w:color w:val="262B33"/>
                <w:sz w:val="16"/>
              </w:rPr>
              <w:t>06/11/2026</w:t>
            </w:r>
          </w:p>
        </w:tc>
        <w:tc>
          <w:tcPr>
            <w:tcW w:type="dxa" w:w="1440"/>
          </w:tcPr>
          <w:p>
            <w:r>
              <w:rPr>
                <w:color w:val="262B33"/>
                <w:sz w:val="16"/>
              </w:rPr>
              <w:t>Custom Made</w:t>
            </w:r>
          </w:p>
        </w:tc>
        <w:tc>
          <w:tcPr>
            <w:tcW w:type="dxa" w:w="1440"/>
          </w:tcPr>
          <w:p>
            <w:r>
              <w:rPr>
                <w:color w:val="262B33"/>
                <w:sz w:val="16"/>
              </w:rPr>
              <w:t>Safety event intake describing the missed-offloading event for review</w:t>
            </w:r>
          </w:p>
        </w:tc>
        <w:tc>
          <w:tcPr>
            <w:tcW w:type="dxa" w:w="1440"/>
          </w:tcPr>
          <w:p>
            <w:r>
              <w:rPr>
                <w:color w:val="262B33"/>
                <w:sz w:val="16"/>
              </w:rPr>
              <w:t>Task 9</w:t>
            </w:r>
          </w:p>
        </w:tc>
      </w:tr>
      <w:tr>
        <w:tc>
          <w:tcPr>
            <w:tcW w:type="dxa" w:w="1440"/>
          </w:tcPr>
          <w:p>
            <w:r>
              <w:rPr>
                <w:color w:val="262B33"/>
                <w:sz w:val="16"/>
              </w:rPr>
              <w:t>9</w:t>
            </w:r>
          </w:p>
        </w:tc>
        <w:tc>
          <w:tcPr>
            <w:tcW w:type="dxa" w:w="1440"/>
          </w:tcPr>
          <w:p>
            <w:r>
              <w:rPr>
                <w:color w:val="262B33"/>
                <w:sz w:val="16"/>
              </w:rPr>
              <w:t>E1-T10</w:t>
            </w:r>
          </w:p>
        </w:tc>
        <w:tc>
          <w:tcPr>
            <w:tcW w:type="dxa" w:w="1440"/>
          </w:tcPr>
          <w:p>
            <w:r>
              <w:rPr>
                <w:color w:val="262B33"/>
                <w:sz w:val="13"/>
              </w:rPr>
              <w:t>started_discharge_instruction_draft_05212026.docx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Same-author discharge instruction draft, complete except a true placeholder on the offloading and activity section</w:t>
            </w:r>
          </w:p>
        </w:tc>
        <w:tc>
          <w:tcPr>
            <w:tcW w:type="dxa" w:w="1440"/>
          </w:tcPr>
          <w:p>
            <w:r>
              <w:rPr>
                <w:color w:val="262B33"/>
                <w:sz w:val="16"/>
              </w:rPr>
              <w:t>Task 10</w:t>
            </w:r>
          </w:p>
        </w:tc>
      </w:tr>
    </w:tbl>
    <w:p>
      <w:pPr>
        <w:pStyle w:val="Heading2"/>
      </w:pPr>
      <w:r>
        <w:t>3.3 Supplementary Files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WS1</w:t>
            </w:r>
          </w:p>
        </w:tc>
        <w:tc>
          <w:tcPr>
            <w:tcW w:type="dxa" w:w="1440"/>
          </w:tcPr>
          <w:p>
            <w:r>
              <w:rPr>
                <w:color w:val="262B33"/>
                <w:sz w:val="13"/>
              </w:rPr>
              <w:t>diabetes_foot_care_education_05212026.docx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Generic diabetic foot-care education handout</w:t>
            </w:r>
          </w:p>
        </w:tc>
        <w:tc>
          <w:tcPr>
            <w:tcW w:type="dxa" w:w="1440"/>
          </w:tcPr>
          <w:p>
            <w:r>
              <w:rPr>
                <w:color w:val="262B33"/>
                <w:sz w:val="16"/>
              </w:rPr>
              <w:t>Removing it changes no medication, coding, appeal, or disposition answer</w:t>
            </w:r>
          </w:p>
        </w:tc>
      </w:tr>
      <w:tr>
        <w:tc>
          <w:tcPr>
            <w:tcW w:type="dxa" w:w="1440"/>
          </w:tcPr>
          <w:p>
            <w:r>
              <w:rPr>
                <w:color w:val="262B33"/>
                <w:sz w:val="16"/>
              </w:rPr>
              <w:t>2</w:t>
            </w:r>
          </w:p>
        </w:tc>
        <w:tc>
          <w:tcPr>
            <w:tcW w:type="dxa" w:w="1440"/>
          </w:tcPr>
          <w:p>
            <w:r>
              <w:rPr>
                <w:color w:val="262B33"/>
                <w:sz w:val="16"/>
              </w:rPr>
              <w:t>WS2</w:t>
            </w:r>
          </w:p>
        </w:tc>
        <w:tc>
          <w:tcPr>
            <w:tcW w:type="dxa" w:w="1440"/>
          </w:tcPr>
          <w:p>
            <w:r>
              <w:rPr>
                <w:color w:val="262B33"/>
                <w:sz w:val="13"/>
              </w:rPr>
              <w:t>general_discharge_rights_notice_05212026.docx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Standard discharge rights and appeal-rights notice, generic</w:t>
            </w:r>
          </w:p>
        </w:tc>
        <w:tc>
          <w:tcPr>
            <w:tcW w:type="dxa" w:w="1440"/>
          </w:tcPr>
          <w:p>
            <w:r>
              <w:rPr>
                <w:color w:val="262B33"/>
                <w:sz w:val="16"/>
              </w:rPr>
              <w:t>Removing it changes no correct answer</w:t>
            </w:r>
          </w:p>
        </w:tc>
      </w:tr>
      <w:tr>
        <w:tc>
          <w:tcPr>
            <w:tcW w:type="dxa" w:w="1440"/>
          </w:tcPr>
          <w:p>
            <w:r>
              <w:rPr>
                <w:color w:val="262B33"/>
                <w:sz w:val="16"/>
              </w:rPr>
              <w:t>3</w:t>
            </w:r>
          </w:p>
        </w:tc>
        <w:tc>
          <w:tcPr>
            <w:tcW w:type="dxa" w:w="1440"/>
          </w:tcPr>
          <w:p>
            <w:r>
              <w:rPr>
                <w:color w:val="262B33"/>
                <w:sz w:val="16"/>
              </w:rPr>
              <w:t>WS3</w:t>
            </w:r>
          </w:p>
        </w:tc>
        <w:tc>
          <w:tcPr>
            <w:tcW w:type="dxa" w:w="1440"/>
          </w:tcPr>
          <w:p>
            <w:r>
              <w:rPr>
                <w:color w:val="262B33"/>
                <w:sz w:val="13"/>
              </w:rPr>
              <w:t>nursing_shift_narrative_05182026.docx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Generic shift narratives, turns, intake, family at bedside, no load-bearing fact</w:t>
            </w:r>
          </w:p>
        </w:tc>
        <w:tc>
          <w:tcPr>
            <w:tcW w:type="dxa" w:w="1440"/>
          </w:tcPr>
          <w:p>
            <w:r>
              <w:rPr>
                <w:color w:val="262B33"/>
                <w:sz w:val="16"/>
              </w:rPr>
              <w:t>Removing it changes no correct answer</w:t>
            </w:r>
          </w:p>
        </w:tc>
      </w:tr>
    </w:tbl>
    <w:p>
      <w:pPr/>
      <w:r>
        <w:rPr>
          <w:color w:val="262B33"/>
          <w:sz w:val="16"/>
        </w:rP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pStyle w:val="Heading1"/>
      </w:pPr>
      <w:r>
        <w:t>4. World Summary</w:t>
      </w:r>
    </w:p>
    <w:p>
      <w:pPr/>
      <w:r>
        <w:rPr>
          <w:color w:val="262B33"/>
          <w:sz w:val="16"/>
        </w:rP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public knowledge published after July 31, 2025, and any fact not supported by those sources is either fabrication if asserted or must be acknowledged as uncertain. This principle governs golden-response construction and grader-guideline calibration downstream.</w:t>
            </w:r>
          </w:p>
        </w:tc>
      </w:tr>
    </w:tbl>
    <w:sectPr>
      <w:pgSz w:h="15840" w:w="12240"/>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