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06/23/2026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Fall Risk Assessment and Prevention Bundle</w:t>
            </w:r>
          </w:p>
        </w:tc>
      </w:tr>
    </w:tbl>
    <w:p/>
    <w:p>
      <w:r>
        <w:rPr>
          <w:rFonts w:ascii="Arial" w:hAnsi="Arial"/>
          <w:b/>
          <w:i w:val="0"/>
          <w:color w:val="1F3864"/>
          <w:sz w:val="28"/>
        </w:rPr>
        <w:t>FALL RISK ASSESSMENT AND PREVENTION BUNDLE</w:t>
      </w:r>
    </w:p>
    <w:p>
      <w:r>
        <w:rPr>
          <w:rFonts w:ascii="Arial" w:hAnsi="Arial"/>
          <w:b w:val="0"/>
          <w:i w:val="0"/>
          <w:color w:val="5E6670"/>
          <w:sz w:val="16"/>
        </w:rPr>
        <w:t>Author: Talia Quenor, MD  |  Department: Primary Care  |  06/23/2026  |  Status: Signed</w:t>
      </w:r>
    </w:p>
    <w:p>
      <w:pPr>
        <w:spacing w:before="180" w:after="60"/>
        <w:pBdr>
          <w:bottom w:val="single" w:sz="6" w:color="C9D4EA" w:space="2"/>
        </w:pBdr>
      </w:pPr>
      <w:r>
        <w:rPr>
          <w:rFonts w:ascii="Arial" w:hAnsi="Arial"/>
          <w:b/>
          <w:i w:val="0"/>
          <w:color w:val="4472C4"/>
          <w:sz w:val="20"/>
        </w:rPr>
        <w:t>Reason for visit</w:t>
      </w:r>
    </w:p>
    <w:p>
      <w:r>
        <w:rPr>
          <w:rFonts w:ascii="Arial" w:hAnsi="Arial"/>
          <w:b w:val="0"/>
          <w:i w:val="0"/>
          <w:color w:val="232830"/>
          <w:sz w:val="19"/>
        </w:rPr>
        <w:t>Korvin Merrow is seen today, 06/23/2026, for a post-discharge fall-risk reassessment about thirty days after the 05/18 to 05/24/2026 hospitalization for suspected urinary-source infection with sepsis physiology and AKI on CKD stage 3, both resolved. At discharge his fall risk was high (Morse Fall Scale 65) with a rolling walker, supervised mobility for the first week, and a family-supervised medication routine. Background drivers: diabetic peripheral neuropathy, orthostatic vulnerability, limited endurance, polypharmacy, and reproducible medication-management errors documented by therapy.</w:t>
      </w:r>
    </w:p>
    <w:p>
      <w:pPr>
        <w:spacing w:before="180" w:after="60"/>
        <w:pBdr>
          <w:bottom w:val="single" w:sz="6" w:color="C9D4EA" w:space="2"/>
        </w:pBdr>
      </w:pPr>
      <w:r>
        <w:rPr>
          <w:rFonts w:ascii="Arial" w:hAnsi="Arial"/>
          <w:b/>
          <w:i w:val="0"/>
          <w:color w:val="4472C4"/>
          <w:sz w:val="20"/>
        </w:rPr>
        <w:t>Interval mobility report</w:t>
      </w:r>
    </w:p>
    <w:p>
      <w:r>
        <w:rPr>
          <w:rFonts w:ascii="Arial" w:hAnsi="Arial"/>
          <w:b w:val="0"/>
          <w:i w:val="0"/>
          <w:color w:val="232830"/>
          <w:sz w:val="19"/>
        </w:rPr>
        <w:t>Patient reports that he has been steady on his feet at home and that, by his account, he has been getting around with just his cane and has had no falls or near-falls over the past few weeks. He says he feels back to his usual self. He did not bring a home gait log and has not had a home or outpatient therapy reassessment yet. His wife continues to oversee his routine at home.</w:t>
      </w:r>
    </w:p>
    <w:p>
      <w:pPr>
        <w:spacing w:before="180" w:after="60"/>
        <w:pBdr>
          <w:bottom w:val="single" w:sz="6" w:color="C9D4EA" w:space="2"/>
        </w:pBdr>
      </w:pPr>
      <w:r>
        <w:rPr>
          <w:rFonts w:ascii="Arial" w:hAnsi="Arial"/>
          <w:b/>
          <w:i w:val="0"/>
          <w:color w:val="4472C4"/>
          <w:sz w:val="20"/>
        </w:rPr>
        <w:t>Assessment and prevention bundle</w:t>
      </w:r>
    </w:p>
    <w:p>
      <w:r>
        <w:rPr>
          <w:rFonts w:ascii="Arial" w:hAnsi="Arial"/>
          <w:b w:val="0"/>
          <w:i w:val="0"/>
          <w:color w:val="232830"/>
          <w:sz w:val="19"/>
        </w:rPr>
        <w:t>1. Fall risk: the reported steadiness is unverified patient report, and per occupational therapy he does not reliably self-detect his own functional errors in real time, so do not downgrade the fall-risk status or step the bundle down on it. Discharge fall risk was high, Morse Fall Scale 65, with persistent drivers, diabetic peripheral neuropathy, orthostatic vulnerability, limited endurance, and polypharmacy, that a thirty-day subjective report does not resolve. Continue the rolling walker, since a cane is insufficient per physical therapy given his endurance and orthostatic vulnerability, continue supervised mobility, and continue the family medication check-ins with the pre-filled weekly organizer. Defer any step-down to a home or outpatient therapy reassessment with objective gait and Morse data.</w:t>
      </w:r>
    </w:p>
    <w:p>
      <w:r>
        <w:rPr>
          <w:rFonts w:ascii="Arial" w:hAnsi="Arial"/>
          <w:b w:val="0"/>
          <w:i w:val="0"/>
          <w:color w:val="232830"/>
          <w:sz w:val="19"/>
        </w:rPr>
        <w:t>2. Diabetic peripheral neuropathy: continue protective footwear and routine foot checks; the sensory deficit remains a standing fall driver.</w:t>
      </w:r>
    </w:p>
    <w:p>
      <w:r>
        <w:rPr>
          <w:rFonts w:ascii="Arial" w:hAnsi="Arial"/>
          <w:b w:val="0"/>
          <w:i w:val="0"/>
          <w:color w:val="232830"/>
          <w:sz w:val="19"/>
        </w:rPr>
        <w:t>3. Orthostatic vulnerability: continue slow position changes and orthostatic precautions; the cardiorenal-held regimen and neuropathy keep this an active contributor.</w:t>
      </w:r>
    </w:p>
    <w:p>
      <w:r>
        <w:rPr>
          <w:rFonts w:ascii="Arial" w:hAnsi="Arial"/>
          <w:b w:val="0"/>
          <w:i w:val="0"/>
          <w:color w:val="232830"/>
          <w:sz w:val="19"/>
        </w:rPr>
        <w:t>4. Home environment: continue the bathroom grab bars and removal of loose rugs from walking paths, and the bedside commode as needed at night.</w:t>
      </w:r>
    </w:p>
    <w:p>
      <w:r>
        <w:rPr>
          <w:rFonts w:ascii="Arial" w:hAnsi="Arial"/>
          <w:b w:val="0"/>
          <w:i w:val="0"/>
          <w:color w:val="232830"/>
          <w:sz w:val="19"/>
        </w:rPr>
        <w:t>5. Reassessment: arrange a home or outpatient physical and occupational therapy reassessment with objective gait and Morse scoring before any device or supervision change; reinforce nightly CPAP, since untreated sleep apnea worsens daytime fatigue and fall risk.</w:t>
      </w:r>
    </w:p>
    <w:p>
      <w:r>
        <w:rPr>
          <w:rFonts w:ascii="Arial" w:hAnsi="Arial"/>
          <w:b w:val="0"/>
          <w:i w:val="0"/>
          <w:color w:val="232830"/>
          <w:sz w:val="19"/>
        </w:rPr>
        <w:t>To finalize: an objective home or outpatient therapy reassessment is the open item; do not step down the device or supervision on the unverified self-report.</w:t>
      </w:r>
    </w:p>
    <w:p>
      <w:pPr>
        <w:spacing w:before="200"/>
        <w:pBdr>
          <w:top w:val="single" w:sz="4" w:color="C9D4EA" w:space="4"/>
        </w:pBdr>
      </w:pPr>
      <w:r>
        <w:rPr>
          <w:rFonts w:ascii="Arial" w:hAnsi="Arial"/>
          <w:b w:val="0"/>
          <w:i/>
          <w:color w:val="5E6670"/>
          <w:sz w:val="18"/>
        </w:rPr>
        <w:t>Electronically signed by Talia Quenor, MD  |  Primary Care, Mercy Vale Primary Care, Harbor Crest Clinic</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Fall Risk Assessment and Prevention Bundle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