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06/23/2026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Primary Care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Referral to Nephrology</w:t>
            </w:r>
          </w:p>
        </w:tc>
      </w:tr>
    </w:tbl>
    <w:p/>
    <w:p>
      <w:r>
        <w:rPr>
          <w:rFonts w:ascii="Arial" w:hAnsi="Arial"/>
          <w:b/>
          <w:i w:val="0"/>
          <w:color w:val="1F3864"/>
          <w:sz w:val="28"/>
        </w:rPr>
        <w:t>REFERRAL TO NEPHROLOGY</w:t>
      </w:r>
    </w:p>
    <w:p>
      <w:r>
        <w:rPr>
          <w:rFonts w:ascii="Arial" w:hAnsi="Arial"/>
          <w:b w:val="0"/>
          <w:i w:val="0"/>
          <w:color w:val="5E6670"/>
          <w:sz w:val="16"/>
        </w:rPr>
        <w:t>From: Talia Quenor, MD, Primary Care  |  To: Iven Solthar, MD, Nephrology  |  06/23/2026  |  Status: Signed</w:t>
      </w:r>
    </w:p>
    <w:p>
      <w:pPr>
        <w:spacing w:before="180" w:after="60"/>
        <w:pBdr>
          <w:bottom w:val="single" w:sz="6" w:color="C9D4EA" w:space="2"/>
        </w:pBdr>
      </w:pPr>
      <w:r>
        <w:rPr>
          <w:rFonts w:ascii="Arial" w:hAnsi="Arial"/>
          <w:b/>
          <w:i w:val="0"/>
          <w:color w:val="4472C4"/>
          <w:sz w:val="20"/>
        </w:rPr>
        <w:t>Reason for referral</w:t>
      </w:r>
    </w:p>
    <w:p>
      <w:r>
        <w:rPr>
          <w:rFonts w:ascii="Arial" w:hAnsi="Arial"/>
          <w:b w:val="0"/>
          <w:i w:val="0"/>
          <w:color w:val="232830"/>
          <w:sz w:val="19"/>
        </w:rPr>
        <w:t>Dear Dr. Solthar, I am referring Korvin Merrow, a 62-year-old man with CKD stage 3, for outpatient nephrology follow-up after his 05/18 to 05/24/2026 hospitalization for a suspected urinary-source infection with sepsis physiology and AKI on CKD. I would value your continued involvement in monitoring his renal recovery and, in particular, in leading the staged reintroduction of the renal- and hemodynamic-sensitive medications that were held during the admission.</w:t>
      </w:r>
    </w:p>
    <w:p>
      <w:pPr>
        <w:spacing w:before="180" w:after="60"/>
        <w:pBdr>
          <w:bottom w:val="single" w:sz="6" w:color="C9D4EA" w:space="2"/>
        </w:pBdr>
      </w:pPr>
      <w:r>
        <w:rPr>
          <w:rFonts w:ascii="Arial" w:hAnsi="Arial"/>
          <w:b/>
          <w:i w:val="0"/>
          <w:color w:val="4472C4"/>
          <w:sz w:val="20"/>
        </w:rPr>
        <w:t>Hospital course</w:t>
      </w:r>
    </w:p>
    <w:p>
      <w:r>
        <w:rPr>
          <w:rFonts w:ascii="Arial" w:hAnsi="Arial"/>
          <w:b w:val="0"/>
          <w:i w:val="0"/>
          <w:color w:val="232830"/>
          <w:sz w:val="19"/>
        </w:rPr>
        <w:t>His outpatient baseline creatinine is 1.6 to 1.8 mg/dL with an eGFR in the 40 to 50 range. Admission creatinine peaked at 2.62 mg/dL with a multifactorial, predominantly prerenal AKI from poor intake and infection-related hemodynamics. Sacubitril/valsartan, spironolactone, metformin, and empagliflozin were held during the admission, and furosemide was held for prerenal physiology; aspirin, atorvastatin, and a cautious dose of carvedilol were continued. By discharge his creatinine had returned to 1.80 mg/dL, at the upper end of his outpatient baseline, and the AKI had resolved by laboratory criteria.</w:t>
      </w:r>
    </w:p>
    <w:p>
      <w:pPr>
        <w:spacing w:before="180" w:after="60"/>
        <w:pBdr>
          <w:bottom w:val="single" w:sz="6" w:color="C9D4EA" w:space="2"/>
        </w:pBdr>
      </w:pPr>
      <w:r>
        <w:rPr>
          <w:rFonts w:ascii="Arial" w:hAnsi="Arial"/>
          <w:b/>
          <w:i w:val="0"/>
          <w:color w:val="4472C4"/>
          <w:sz w:val="20"/>
        </w:rPr>
        <w:t>Restart sequencing, the open question</w:t>
      </w:r>
    </w:p>
    <w:p>
      <w:r>
        <w:rPr>
          <w:rFonts w:ascii="Arial" w:hAnsi="Arial"/>
          <w:b w:val="0"/>
          <w:i w:val="0"/>
          <w:color w:val="232830"/>
          <w:sz w:val="19"/>
        </w:rPr>
        <w:t>I want to be clear that this laboratory resolution is not the same as restored physiologic reserve, and it does not by itself establish that he is ready to resume his held cardiorenal and diabetes agents. Your inpatient assessment framed the restart as a staged, parameter-gated sequencing problem to be guided by the pace of renal recovery and blood pressure reserve rather than by a single favorable creatinine, and coordinated with cardiology rather than undertaken simultaneously. I am referring that open sequencing decision to you to drive: which agent is reintroduced first, against which parameters, and on what monitoring schedule, in coordination with his cardiologist Dr. Caldrane. None of the held agents has been restarted at this visit.</w:t>
      </w:r>
    </w:p>
    <w:p>
      <w:pPr>
        <w:spacing w:before="180" w:after="60"/>
        <w:pBdr>
          <w:bottom w:val="single" w:sz="6" w:color="C9D4EA" w:space="2"/>
        </w:pBdr>
      </w:pPr>
      <w:r>
        <w:rPr>
          <w:rFonts w:ascii="Arial" w:hAnsi="Arial"/>
          <w:b/>
          <w:i w:val="0"/>
          <w:color w:val="4472C4"/>
          <w:sz w:val="20"/>
        </w:rPr>
        <w:t>Requests and follow-up</w:t>
      </w:r>
    </w:p>
    <w:p>
      <w:r>
        <w:rPr>
          <w:rFonts w:ascii="Arial" w:hAnsi="Arial"/>
          <w:b w:val="0"/>
          <w:i w:val="0"/>
          <w:color w:val="232830"/>
          <w:sz w:val="19"/>
        </w:rPr>
        <w:t>I would be grateful if he could be seen within one to two weeks of discharge, sooner if any restart is initiated near discharge. In the interim I am continuing to avoid NSAIDs and applying renal dosing to any new prescription, and I will share interval metabolic panels. Please advise on the restart sequence and the laboratory and blood-pressure thresholds you want met before each step.</w:t>
      </w:r>
    </w:p>
    <w:p>
      <w:r>
        <w:rPr>
          <w:rFonts w:ascii="Arial" w:hAnsi="Arial"/>
          <w:b w:val="0"/>
          <w:i w:val="0"/>
          <w:color w:val="232830"/>
          <w:sz w:val="19"/>
        </w:rPr>
        <w:t>Thank you for your continued co-management of his renal care. Please contact me with any questions.</w:t>
      </w:r>
    </w:p>
    <w:p>
      <w:pPr>
        <w:spacing w:before="200"/>
        <w:pBdr>
          <w:top w:val="single" w:sz="4" w:color="C9D4EA" w:space="4"/>
        </w:pBdr>
      </w:pPr>
      <w:r>
        <w:rPr>
          <w:rFonts w:ascii="Arial" w:hAnsi="Arial"/>
          <w:b w:val="0"/>
          <w:i/>
          <w:color w:val="5E6670"/>
          <w:sz w:val="18"/>
        </w:rPr>
        <w:t>Electronically signed by Talia Quenor, MD  |  Primary Care, Mercy Vale Primary Care, Harbor Crest Clinic</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Referral to Nephrology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