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
    </w:p>
    <w:tbl>
      <w:tblPr>
        <w:tblW w:w="10224" w:type="dxa"/>
        <w:jc w:val="start"/>
        <w:tblInd w:w="0" w:type="dxa"/>
        <w:tblLayout w:type="fixed"/>
        <w:tblCellMar>
          <w:top w:w="0" w:type="dxa"/>
          <w:start w:w="0" w:type="dxa"/>
          <w:bottom w:w="20" w:type="dxa"/>
          <w:end w:w="0" w:type="dxa"/>
        </w:tblCellMar>
        <w:tblLook w:val="04a0" w:firstRow="1" w:noVBand="1" w:lastRow="0" w:firstColumn="1" w:lastColumn="0" w:noHBand="0"/>
      </w:tblPr>
      <w:tblGrid>
        <w:gridCol w:w="7632"/>
        <w:gridCol w:w="2592"/>
      </w:tblGrid>
      <w:tr>
        <w:trPr/>
        <w:tc>
          <w:tcPr>
            <w:tcW w:w="7632" w:type="dxa"/>
            <w:tcBorders/>
          </w:tcPr>
          <w:p>
            <w:pPr>
              <w:pStyle w:val="Normal"/>
              <w:widowControl/>
              <w:bidi w:val="0"/>
              <w:spacing w:lineRule="auto" w:line="276" w:before="0" w:after="40"/>
              <w:jc w:val="start"/>
              <w:rPr/>
            </w:pPr>
            <w:r>
              <w:rPr/>
              <w:t>MERCY VALE PRIMARY CARE   -  Harbor Crest Clinic</w:t>
            </w:r>
          </w:p>
        </w:tc>
        <w:tc>
          <w:tcPr>
            <w:tcW w:w="2592" w:type="dxa"/>
            <w:tcBorders/>
          </w:tcPr>
          <w:p>
            <w:pPr>
              <w:pStyle w:val="Normal"/>
              <w:spacing w:before="0" w:after="40"/>
              <w:jc w:val="end"/>
              <w:rPr/>
            </w:pPr>
            <w:r>
              <w:rPr>
                <w:b/>
                <w:i w:val="false"/>
                <w:color w:val="5E6670"/>
                <w:sz w:val="18"/>
              </w:rPr>
              <w:t>Confidential</w:t>
            </w:r>
          </w:p>
        </w:tc>
      </w:tr>
      <w:tr>
        <w:trPr/>
        <w:tc>
          <w:tcPr>
            <w:tcW w:w="7632" w:type="dxa"/>
            <w:tcBorders/>
            <w:tcMar>
              <w:bottom w:w="40" w:type="dxa"/>
            </w:tcMar>
          </w:tcPr>
          <w:p>
            <w:pPr>
              <w:pStyle w:val="Normal"/>
              <w:widowControl/>
              <w:bidi w:val="0"/>
              <w:spacing w:lineRule="auto" w:line="276" w:before="0" w:after="40"/>
              <w:jc w:val="start"/>
              <w:rPr/>
            </w:pPr>
            <w:r>
              <w:rPr/>
              <w:t>Harbor Crest Clinic  |  Primary Care  |  (412) 555-0410</w:t>
            </w:r>
          </w:p>
        </w:tc>
        <w:tc>
          <w:tcPr>
            <w:tcW w:w="2592" w:type="dxa"/>
            <w:tcBorders/>
            <w:tcMar>
              <w:bottom w:w="40" w:type="dxa"/>
            </w:tcMar>
          </w:tcPr>
          <w:p>
            <w:pPr>
              <w:pStyle w:val="Normal"/>
              <w:widowControl/>
              <w:bidi w:val="0"/>
              <w:spacing w:lineRule="auto" w:line="276" w:before="0" w:after="40"/>
              <w:jc w:val="start"/>
              <w:rPr/>
            </w:pPr>
            <w:r>
              <w:rPr/>
              <w:t>Outpatient Referral</w:t>
            </w:r>
          </w:p>
        </w:tc>
      </w:tr>
    </w:tbl>
    <w:p>
      <w:pPr>
        <w:pStyle w:val="Normal"/>
        <w:pBdr>
          <w:bottom w:val="single" w:sz="6" w:space="1" w:color="B9BEC4"/>
        </w:pBdr>
        <w:spacing w:before="0" w:after="120"/>
        <w:rPr/>
      </w:pPr>
      <w:r>
        <w:rPr/>
      </w:r>
    </w:p>
    <w:tbl>
      <w:tblPr>
        <w:tblW w:w="10224" w:type="dxa"/>
        <w:jc w:val="start"/>
        <w:tblInd w:w="85" w:type="dxa"/>
        <w:tblLayout w:type="fixed"/>
        <w:tblCellMar>
          <w:top w:w="60" w:type="dxa"/>
          <w:start w:w="90" w:type="dxa"/>
          <w:bottom w:w="60" w:type="dxa"/>
          <w:end w:w="90" w:type="dxa"/>
        </w:tblCellMar>
        <w:tblLook w:val="04a0" w:firstRow="1" w:noVBand="1" w:lastRow="0" w:firstColumn="1" w:lastColumn="0" w:noHBand="0"/>
      </w:tblPr>
      <w:tblGrid>
        <w:gridCol w:w="3024"/>
        <w:gridCol w:w="2303"/>
        <w:gridCol w:w="2736"/>
        <w:gridCol w:w="2161"/>
      </w:tblGrid>
      <w:tr>
        <w:trPr/>
        <w:tc>
          <w:tcPr>
            <w:tcW w:w="3024"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PATIENT</w:t>
            </w:r>
          </w:p>
          <w:p>
            <w:pPr>
              <w:pStyle w:val="Normal"/>
              <w:spacing w:before="0" w:after="0"/>
              <w:rPr/>
            </w:pPr>
            <w:r>
              <w:rPr>
                <w:b w:val="false"/>
                <w:sz w:val="19"/>
              </w:rPr>
              <w:t>Korvin Merrow, 62 y</w:t>
            </w:r>
          </w:p>
        </w:tc>
        <w:tc>
          <w:tcPr>
            <w:tcW w:w="2303"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SEX</w:t>
            </w:r>
          </w:p>
          <w:p>
            <w:pPr>
              <w:pStyle w:val="Normal"/>
              <w:spacing w:before="0" w:after="0"/>
              <w:rPr/>
            </w:pPr>
            <w:r>
              <w:rPr>
                <w:b w:val="false"/>
                <w:sz w:val="19"/>
              </w:rPr>
              <w:t>Male</w:t>
            </w:r>
          </w:p>
        </w:tc>
        <w:tc>
          <w:tcPr>
            <w:tcW w:w="2736"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DOB</w:t>
            </w:r>
          </w:p>
          <w:p>
            <w:pPr>
              <w:pStyle w:val="Normal"/>
              <w:spacing w:before="0" w:after="0"/>
              <w:rPr/>
            </w:pPr>
            <w:r>
              <w:rPr>
                <w:b w:val="false"/>
                <w:sz w:val="19"/>
              </w:rPr>
              <w:t>02/18/1964</w:t>
            </w:r>
          </w:p>
        </w:tc>
        <w:tc>
          <w:tcPr>
            <w:tcW w:w="2161"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MRN</w:t>
            </w:r>
          </w:p>
          <w:p>
            <w:pPr>
              <w:pStyle w:val="Normal"/>
              <w:spacing w:before="0" w:after="0"/>
              <w:rPr/>
            </w:pPr>
            <w:r>
              <w:rPr>
                <w:b w:val="false"/>
                <w:sz w:val="19"/>
              </w:rPr>
              <w:t>KM-6427819</w:t>
            </w:r>
          </w:p>
        </w:tc>
      </w:tr>
      <w:tr>
        <w:trPr/>
        <w:tc>
          <w:tcPr>
            <w:tcW w:w="3024"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DATE</w:t>
              <w:br/>
              <w:t>05/24/2026</w:t>
            </w:r>
          </w:p>
        </w:tc>
        <w:tc>
          <w:tcPr>
            <w:tcW w:w="2303" w:type="dxa"/>
            <w:tcBorders>
              <w:top w:val="single" w:sz="4" w:space="0" w:color="B9BEC4"/>
              <w:start w:val="single" w:sz="4" w:space="0" w:color="B9BEC4"/>
              <w:bottom w:val="single" w:sz="4" w:space="0" w:color="B9BEC4"/>
              <w:end w:val="single" w:sz="4" w:space="0" w:color="B9BEC4"/>
            </w:tcBorders>
          </w:tcPr>
          <w:p>
            <w:pPr>
              <w:pStyle w:val="Normal"/>
              <w:spacing w:before="0" w:after="0"/>
              <w:rPr/>
            </w:pPr>
            <w:r>
              <w:rPr>
                <w:b/>
                <w:color w:val="5E6670"/>
                <w:sz w:val="15"/>
              </w:rPr>
              <w:t>UNIT / ROOM</w:t>
            </w:r>
          </w:p>
          <w:p>
            <w:pPr>
              <w:pStyle w:val="Normal"/>
              <w:spacing w:before="0" w:after="0"/>
              <w:rPr/>
            </w:pPr>
            <w:r>
              <w:rPr>
                <w:b w:val="false"/>
                <w:sz w:val="19"/>
              </w:rPr>
              <w:t>5 West Medical / 5W-318</w:t>
            </w:r>
          </w:p>
        </w:tc>
        <w:tc>
          <w:tcPr>
            <w:tcW w:w="2736"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ALLERGIES</w:t>
              <w:br/>
              <w:t>Lisinopril (cough) - ACE-inhibitor intolerance</w:t>
            </w:r>
          </w:p>
        </w:tc>
        <w:tc>
          <w:tcPr>
            <w:tcW w:w="2161" w:type="dxa"/>
            <w:tcBorders>
              <w:top w:val="single" w:sz="4" w:space="0" w:color="B9BEC4"/>
              <w:start w:val="single" w:sz="4" w:space="0" w:color="B9BEC4"/>
              <w:bottom w:val="single" w:sz="4" w:space="0" w:color="B9BEC4"/>
              <w:end w:val="single" w:sz="4" w:space="0" w:color="B9BEC4"/>
            </w:tcBorders>
          </w:tcPr>
          <w:p>
            <w:pPr>
              <w:pStyle w:val="Normal"/>
              <w:spacing w:before="0" w:after="0"/>
              <w:rPr/>
            </w:pPr>
            <w:r>
              <w:rPr>
                <w:b/>
                <w:color w:val="5E6670"/>
                <w:sz w:val="15"/>
              </w:rPr>
              <w:t>FIN</w:t>
            </w:r>
          </w:p>
          <w:p>
            <w:pPr>
              <w:pStyle w:val="Normal"/>
              <w:spacing w:before="0" w:after="0"/>
              <w:rPr/>
            </w:pPr>
            <w:r>
              <w:rPr>
                <w:b w:val="false"/>
                <w:sz w:val="19"/>
              </w:rPr>
              <w:t>KM-2026-051877</w:t>
            </w:r>
          </w:p>
        </w:tc>
      </w:tr>
      <w:tr>
        <w:trPr/>
        <w:tc>
          <w:tcPr>
            <w:tcW w:w="3024"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REFERRING</w:t>
              <w:br/>
              <w:t>Talia Quenor, MD - Primary Care</w:t>
            </w:r>
          </w:p>
        </w:tc>
        <w:tc>
          <w:tcPr>
            <w:tcW w:w="2303"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REFERRED TO</w:t>
              <w:br/>
              <w:t>Iven Solthar, MD - Nephrology</w:t>
            </w:r>
          </w:p>
        </w:tc>
        <w:tc>
          <w:tcPr>
            <w:tcW w:w="2736"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CODE STATUS</w:t>
              <w:br/>
              <w:t>Full Code</w:t>
            </w:r>
          </w:p>
        </w:tc>
        <w:tc>
          <w:tcPr>
            <w:tcW w:w="2161"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DOCUMENT</w:t>
              <w:br/>
              <w:t>Nephrology Referral Letter</w:t>
            </w:r>
          </w:p>
        </w:tc>
      </w:tr>
    </w:tbl>
    <w:p>
      <w:pPr>
        <w:pStyle w:val="Normal"/>
        <w:spacing w:before="0" w:after="80"/>
        <w:rPr/>
      </w:pPr>
      <w:r>
        <w:rPr/>
      </w:r>
    </w:p>
    <w:p>
      <w:pPr>
        <w:pStyle w:val="Normal"/>
        <w:spacing w:before="40" w:after="80"/>
        <w:jc w:val="start"/>
        <w:rPr/>
      </w:pPr>
      <w:r>
        <w:rPr/>
      </w:r>
    </w:p>
    <w:tbl>
      <w:tblPr>
        <w:tblW w:w="10224" w:type="dxa"/>
        <w:jc w:val="start"/>
        <w:tblInd w:w="85" w:type="dxa"/>
        <w:tblLayout w:type="fixed"/>
        <w:tblCellMar>
          <w:top w:w="50" w:type="dxa"/>
          <w:start w:w="90" w:type="dxa"/>
          <w:bottom w:w="50" w:type="dxa"/>
          <w:end w:w="90" w:type="dxa"/>
        </w:tblCellMar>
        <w:tblLook w:val="04a0" w:firstRow="1" w:noVBand="1" w:lastRow="0" w:firstColumn="1" w:lastColumn="0" w:noHBand="0"/>
      </w:tblPr>
      <w:tblGrid>
        <w:gridCol w:w="2304"/>
        <w:gridCol w:w="7920"/>
      </w:tblGrid>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Author:</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Talia Quenor, MD - Primary Care</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Department:</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Primary Care referral to Nephrology</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Date of Service:</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05/24/2026</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Status:</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Signed - referral letter</w:t>
            </w:r>
          </w:p>
        </w:tc>
      </w:tr>
    </w:tbl>
    <w:p>
      <w:pPr>
        <w:pStyle w:val="Normal"/>
        <w:spacing w:before="0" w:after="40"/>
        <w:rPr/>
      </w:pPr>
      <w:r>
        <w:rPr/>
      </w:r>
    </w:p>
    <w:p>
      <w:pPr>
        <w:pStyle w:val="Normal"/>
        <w:pBdr>
          <w:bottom w:val="single" w:sz="6" w:space="1" w:color="B9BEC4"/>
        </w:pBdr>
        <w:spacing w:before="160" w:after="60"/>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Normal"/>
        <w:spacing w:before="80" w:after="40"/>
        <w:rPr/>
      </w:pPr>
      <w:r>
        <w:rPr/>
      </w:r>
    </w:p>
    <w:p>
      <w:pPr>
        <w:pStyle w:val="Normal"/>
        <w:pBdr>
          <w:bottom w:val="single" w:sz="6" w:space="1" w:color="B9BEC4"/>
        </w:pBdr>
        <w:spacing w:before="160" w:after="60"/>
        <w:rPr/>
      </w:pPr>
      <w:r>
        <w:rPr/>
      </w:r>
    </w:p>
    <w:p>
      <w:pPr>
        <w:pStyle w:val="Normal"/>
        <w:pBdr>
          <w:bottom w:val="single" w:sz="6" w:space="1" w:color="B9BEC4"/>
        </w:pBdr>
        <w:spacing w:before="160" w:after="60"/>
        <w:rPr/>
      </w:pPr>
      <w:r>
        <w:rPr/>
      </w:r>
    </w:p>
    <w:p>
      <w:pPr>
        <w:pStyle w:val="Normal"/>
        <w:spacing w:before="0" w:after="80"/>
        <w:rPr/>
      </w:pPr>
      <w:r>
        <w:rPr/>
      </w:r>
    </w:p>
    <w:p>
      <w:pPr>
        <w:pStyle w:val="Normal"/>
        <w:spacing w:before="40" w:after="40"/>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Normal"/>
        <w:pBdr>
          <w:bottom w:val="single" w:sz="6" w:space="1" w:color="B9BEC4"/>
        </w:pBdr>
        <w:spacing w:before="160" w:after="60"/>
        <w:rPr/>
      </w:pPr>
      <w:r>
        <w:rPr/>
      </w:r>
    </w:p>
    <w:p>
      <w:pPr>
        <w:pStyle w:val="Normal"/>
        <w:spacing w:before="0" w:after="80"/>
        <w:rPr/>
      </w:pPr>
      <w:r>
        <w:rPr/>
      </w:r>
    </w:p>
    <w:p>
      <w:pPr>
        <w:pStyle w:val="Normal"/>
        <w:pBdr>
          <w:bottom w:val="single" w:sz="6" w:space="1" w:color="B9BEC4"/>
        </w:pBdr>
        <w:spacing w:before="160" w:after="60"/>
        <w:rPr/>
      </w:pPr>
      <w:r>
        <w:rPr/>
      </w:r>
    </w:p>
    <w:p>
      <w:pPr>
        <w:pStyle w:val="Normal"/>
        <w:spacing w:before="0" w:after="80"/>
        <w:rPr/>
      </w:pPr>
      <w:r>
        <w:rPr/>
      </w:r>
    </w:p>
    <w:p>
      <w:pPr>
        <w:pStyle w:val="Normal"/>
        <w:pBdr>
          <w:bottom w:val="single" w:sz="6" w:space="1" w:color="B9BEC4"/>
        </w:pBdr>
        <w:spacing w:before="160" w:after="60"/>
        <w:rPr/>
      </w:pPr>
      <w:r>
        <w:rPr/>
      </w:r>
    </w:p>
    <w:p>
      <w:pPr>
        <w:pStyle w:val="Normal"/>
        <w:spacing w:before="0" w:after="120"/>
        <w:rPr/>
      </w:pPr>
      <w:r>
        <w:rPr/>
      </w:r>
    </w:p>
    <w:p>
      <w:pPr>
        <w:pStyle w:val="Normal"/>
        <w:spacing w:before="120" w:after="40"/>
        <w:rPr/>
      </w:pPr>
      <w:r>
        <w:rPr/>
      </w:r>
    </w:p>
    <w:p>
      <w:pPr>
        <w:pStyle w:val="Normal"/>
        <w:spacing w:before="0" w:after="40"/>
        <w:rPr/>
      </w:pPr>
      <w:r>
        <w:rPr/>
      </w:r>
    </w:p>
    <w:p>
      <w:pPr>
        <w:pStyle w:val="Normal"/>
        <w:rPr/>
      </w:pPr>
      <w:r>
        <w:rPr>
          <w:b/>
          <w:color w:val="1F3864"/>
          <w:sz w:val="28"/>
        </w:rPr>
        <w:t>NEPHROLOGY REFERRAL LETTER</w:t>
      </w:r>
    </w:p>
    <w:p>
      <w:pPr>
        <w:pStyle w:val="Normal"/>
        <w:rPr/>
      </w:pPr>
      <w:r>
        <w:rPr>
          <w:b/>
          <w:color w:val="5E666E"/>
          <w:sz w:val="18"/>
        </w:rPr>
        <w:t>Re: Korvin Merrow  |  DOB 02/18/1964  |  MRN KM-6427819</w:t>
      </w:r>
    </w:p>
    <w:p>
      <w:pPr>
        <w:pStyle w:val="Normal"/>
        <w:rPr/>
      </w:pPr>
      <w:r>
        <w:rPr/>
      </w:r>
    </w:p>
    <w:p>
      <w:pPr>
        <w:pStyle w:val="Normal"/>
        <w:rPr/>
      </w:pPr>
      <w:r>
        <w:rPr>
          <w:b w:val="false"/>
          <w:sz w:val="21"/>
        </w:rPr>
        <w:t>Dear Dr. Solthar,</w:t>
      </w:r>
    </w:p>
    <w:p>
      <w:pPr>
        <w:pStyle w:val="Normal"/>
        <w:rPr/>
      </w:pPr>
      <w:r>
        <w:rPr>
          <w:b w:val="false"/>
          <w:sz w:val="21"/>
        </w:rPr>
        <w:t>Thank you for seeing Mr. Merrow in follow-up after his recent hospitalization (05/18 to 05/24/2026) for a suspected urinary-source infection with sepsis physiology and acute kidney injury on his baseline CKD stage 3. I am referring him for renal follow-up and to lead the staged reintroduction of his held cardiorenal regimen in coordination with cardiology.</w:t>
      </w:r>
    </w:p>
    <w:p>
      <w:pPr>
        <w:pStyle w:val="Normal"/>
        <w:rPr/>
      </w:pPr>
      <w:r>
        <w:rPr/>
      </w:r>
    </w:p>
    <w:p>
      <w:pPr>
        <w:pStyle w:val="Normal"/>
        <w:rPr/>
      </w:pPr>
      <w:r>
        <w:rPr>
          <w:b/>
          <w:color w:val="4472C4"/>
          <w:sz w:val="20"/>
        </w:rPr>
        <w:t>Reason for referral</w:t>
      </w:r>
    </w:p>
    <w:p>
      <w:pPr>
        <w:pStyle w:val="Normal"/>
        <w:rPr/>
      </w:pPr>
      <w:r>
        <w:rPr>
          <w:b w:val="false"/>
          <w:sz w:val="21"/>
        </w:rPr>
        <w:t>By laboratory criteria the acute kidney injury has resolved to his outpatient baseline, with a discharge creatinine of 1.8 mg/dL at the upper end of his usual 1.6 to 1.8 range and a normal potassium. As your inpatient consult noted, this does not by itself establish readiness for a full simultaneous restart of his held agents. The held cardiorenal medications have not been resumed, and restart is to be staged rather than simultaneous, guided by the pace of renal recovery and blood-pressure reserve rather than by a single favorable creatinine. I am asking you to drive that staged reintroduction of sacubitril/valsartan, spironolactone, furosemide, and empagliflozin, sequenced with cardiology (Dr. Caldrane), with the agent, dose, and timing at your discretion and close laboratory and blood-pressure monitoring after each change.</w:t>
      </w:r>
    </w:p>
    <w:p>
      <w:pPr>
        <w:pStyle w:val="Normal"/>
        <w:rPr/>
      </w:pPr>
      <w:r>
        <w:rPr/>
      </w:r>
    </w:p>
    <w:p>
      <w:pPr>
        <w:pStyle w:val="Normal"/>
        <w:rPr/>
      </w:pPr>
      <w:r>
        <w:rPr>
          <w:b/>
          <w:color w:val="4472C4"/>
          <w:sz w:val="20"/>
        </w:rPr>
        <w:t>Interval history</w:t>
      </w:r>
    </w:p>
    <w:p>
      <w:pPr>
        <w:pStyle w:val="Normal"/>
        <w:rPr/>
      </w:pPr>
      <w:r>
        <w:rPr>
          <w:b w:val="false"/>
          <w:sz w:val="21"/>
        </w:rPr>
        <w:t>Background includes HFrEF and CAD (remote mid-LAD drug-eluting stent, 2018), type 2 diabetes, polymyalgia rheumatica on a tapering prednisone course, OSA on home CPAP, and anemia of CKD. During the admission the renal-sensitive cardiac agents were held and carvedilol was continued cautiously; aspirin and atorvastatin were continued throughout. Metformin remains held pending confirmed, sustained renal recovery. He is ambulating with a rolling walker and his wife oversees his medications at home.</w:t>
      </w:r>
    </w:p>
    <w:p>
      <w:pPr>
        <w:pStyle w:val="Normal"/>
        <w:rPr/>
      </w:pPr>
      <w:r>
        <w:rPr/>
      </w:r>
    </w:p>
    <w:p>
      <w:pPr>
        <w:pStyle w:val="Normal"/>
        <w:rPr/>
      </w:pPr>
      <w:r>
        <w:rPr>
          <w:b/>
          <w:color w:val="4472C4"/>
          <w:sz w:val="20"/>
        </w:rPr>
        <w:t>Current medications</w:t>
      </w:r>
    </w:p>
    <w:p>
      <w:pPr>
        <w:pStyle w:val="Normal"/>
        <w:rPr/>
      </w:pPr>
      <w:r>
        <w:rPr>
          <w:b w:val="false"/>
          <w:sz w:val="21"/>
        </w:rPr>
        <w:t>Continued: carvedilol 12.5 mg twice daily, aspirin 81 mg daily, atorvastatin 40 mg nightly, insulin glargine 18 units nightly, gabapentin, ferrous sulfate, alendronate weekly, calcium with vitamin D, pantoprazole. Held, awaiting your staged restart: sacubitril/valsartan 24/26 mg twice daily, spironolactone 25 mg daily, furosemide 40 mg daily, empagliflozin 10 mg daily. Metformin ER 500 mg twice daily held pending confirmed renal recovery. Prednisone is continuing on a taper with no numeric dose asserted here, reconciliation deferred to rheumatology. Please avoid NSAIDs and apply renal dosing to any new prescription.</w:t>
      </w:r>
    </w:p>
    <w:p>
      <w:pPr>
        <w:pStyle w:val="Normal"/>
        <w:rPr/>
      </w:pPr>
      <w:r>
        <w:rPr/>
      </w:r>
    </w:p>
    <w:p>
      <w:pPr>
        <w:pStyle w:val="Normal"/>
        <w:rPr/>
      </w:pPr>
      <w:r>
        <w:rPr>
          <w:b w:val="false"/>
          <w:sz w:val="21"/>
        </w:rPr>
        <w:t>I would be grateful if your clinic could see him within one to two weeks of discharge, earlier if any agent is restarted near this visit. Thank you for taking on his renal care.</w:t>
      </w:r>
    </w:p>
    <w:p>
      <w:pPr>
        <w:pStyle w:val="Normal"/>
        <w:rPr/>
      </w:pPr>
      <w:r>
        <w:rPr/>
      </w:r>
    </w:p>
    <w:p>
      <w:pPr>
        <w:pStyle w:val="Normal"/>
        <w:rPr/>
      </w:pPr>
      <w:r>
        <w:rPr>
          <w:b w:val="false"/>
          <w:sz w:val="21"/>
        </w:rPr>
        <w:t>With thanks,</w:t>
      </w:r>
    </w:p>
    <w:p>
      <w:pPr>
        <w:pStyle w:val="Normal"/>
        <w:widowControl/>
        <w:bidi w:val="0"/>
        <w:spacing w:lineRule="auto" w:line="276" w:before="0" w:after="40"/>
        <w:jc w:val="start"/>
        <w:rPr/>
      </w:pPr>
      <w:r>
        <w:rPr>
          <w:b w:val="false"/>
          <w:sz w:val="21"/>
        </w:rPr>
        <w:t>Electronically signed: Talia Quenor, MD - Primary Care, Mercy Vale Primary Care, Harbor Crest Clinic  |  NPI 1962718304  |  05/24/2026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color w:val="5E6670"/>
        <w:sz w:val="15"/>
      </w:rPr>
      <w:t xml:space="preserve">Mercy Vale Regional Medical Center  |  Initial medication reconciliation note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color w:val="5E6670"/>
        <w:sz w:val="15"/>
      </w:rPr>
      <w:t xml:space="preserve">Mercy Vale Regional Medical Center  |  Initial medication reconciliation note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val="false"/>
        <w:i w:val="false"/>
        <w:color w:val="5E6670"/>
        <w:sz w:val="15"/>
      </w:rPr>
      <w:t>Korvin Merrow  |  MRN KM-6427819  |  DOB 02/18/1964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val="false"/>
        <w:i w:val="false"/>
        <w:color w:val="5E6670"/>
        <w:sz w:val="15"/>
      </w:rPr>
      <w:t>Korvin Merrow  |  MRN KM-6427819  |  DOB 02/18/1964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4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2</Pages>
  <Words>542</Words>
  <Characters>3015</Characters>
  <CharactersWithSpaces>3524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2026-06-09T09:24:33Z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