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05/23/2026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Pre-Discharge Medication Plan</w:t>
            </w:r>
          </w:p>
        </w:tc>
      </w:tr>
    </w:tbl>
    <w:p/>
    <w:p>
      <w:r>
        <w:rPr>
          <w:rFonts w:ascii="Arial" w:hAnsi="Arial"/>
          <w:b/>
          <w:i w:val="0"/>
          <w:color w:val="1F3864"/>
          <w:sz w:val="28"/>
        </w:rPr>
        <w:t>PRE-DISCHARGE MEDICATION PLAN</w:t>
      </w:r>
    </w:p>
    <w:p>
      <w:r>
        <w:rPr>
          <w:rFonts w:ascii="Arial" w:hAnsi="Arial"/>
          <w:b w:val="0"/>
          <w:i w:val="0"/>
          <w:color w:val="5E6670"/>
          <w:sz w:val="16"/>
        </w:rPr>
        <w:t>Author: Elian Vossmere, MD  |  Department: Hospital Medicine  |  05/23/2026  |  Status: Signed</w:t>
      </w:r>
    </w:p>
    <w:p>
      <w:pPr>
        <w:spacing w:before="180" w:after="60"/>
        <w:pBdr>
          <w:bottom w:val="single" w:sz="6" w:color="C9D4EA" w:space="2"/>
        </w:pBdr>
      </w:pPr>
      <w:r>
        <w:rPr>
          <w:rFonts w:ascii="Arial" w:hAnsi="Arial"/>
          <w:b/>
          <w:i w:val="0"/>
          <w:color w:val="4472C4"/>
          <w:sz w:val="20"/>
        </w:rPr>
        <w:t>Purpose</w:t>
      </w:r>
    </w:p>
    <w:p>
      <w:r>
        <w:rPr>
          <w:rFonts w:ascii="Arial" w:hAnsi="Arial"/>
          <w:b w:val="0"/>
          <w:i w:val="0"/>
          <w:color w:val="232830"/>
          <w:sz w:val="19"/>
        </w:rPr>
        <w:t>Pre-discharge medication plan to ready the home regimen for discharge tomorrow, 05/24. Diagnoses: HFrEF and CAD (remote mid-LAD drug-eluting stent, 2018), CKD stage 3 with AKI resolved to baseline by laboratory criteria, type 2 diabetes, polymyalgia rheumatica on prednisone, diabetic neuropathy, OSA on home CPAP, anemia of CKD, steroid-related osteoporosis, chronic GERD.</w:t>
      </w:r>
    </w:p>
    <w:p>
      <w:pPr>
        <w:spacing w:before="180" w:after="60"/>
        <w:pBdr>
          <w:bottom w:val="single" w:sz="6" w:color="C9D4EA" w:space="2"/>
        </w:pBdr>
      </w:pPr>
      <w:r>
        <w:rPr>
          <w:rFonts w:ascii="Arial" w:hAnsi="Arial"/>
          <w:b/>
          <w:i w:val="0"/>
          <w:color w:val="4472C4"/>
          <w:sz w:val="20"/>
        </w:rPr>
        <w:t>Assessment and recommendations</w:t>
      </w:r>
    </w:p>
    <w:p>
      <w:r>
        <w:rPr>
          <w:rFonts w:ascii="Arial" w:hAnsi="Arial"/>
          <w:b w:val="0"/>
          <w:i w:val="0"/>
          <w:color w:val="232830"/>
          <w:sz w:val="19"/>
        </w:rPr>
        <w:t>1. Diabetes. Metformin ER remains held pending confirmed, sustained renal recovery rather than a single in-range creatinine; do not resume it at discharge. Continue insulin glargine 18 units nightly at the home dose. The inpatient correctional sliding-scale insulin lispro is an inpatient-only measure and is not carried home. Defer glycemic regimen changes to endocrinology and primary care at outpatient follow-up.</w:t>
      </w:r>
    </w:p>
    <w:p>
      <w:r>
        <w:rPr>
          <w:rFonts w:ascii="Arial" w:hAnsi="Arial"/>
          <w:b w:val="0"/>
          <w:i w:val="0"/>
          <w:color w:val="232830"/>
          <w:sz w:val="19"/>
        </w:rPr>
        <w:t>2. Neuropathy. Gabapentin was deliberately reduced and held on selected days during the stay for sedation and fall-risk concern in this high-fall-risk patient with CKD; do not return it to the full 300 mg nightly dose automatically at discharge. Resume cautiously and reconcile the dose with the outpatient team against renal function and sedation, given renal clearance.</w:t>
      </w:r>
    </w:p>
    <w:p>
      <w:r>
        <w:rPr>
          <w:rFonts w:ascii="Arial" w:hAnsi="Arial"/>
          <w:b w:val="0"/>
          <w:i w:val="0"/>
          <w:color w:val="232830"/>
          <w:sz w:val="19"/>
        </w:rPr>
        <w:t>3. HFrEF and CAD. The held cardiorenal agents (sacubitril/valsartan, spironolactone, furosemide, empagliflozin) remain held; do not resume them in this plan. The AKI resolving to baseline by laboratory criteria does not by itself establish readiness for restart, which is staged rather than simultaneous and deferred to outpatient cardiology and nephrology with monitoring after each change. Continue carvedilol, aspirin, and atorvastatin. Avoid NSAIDs and apply renal dosing to any new prescription.</w:t>
      </w:r>
    </w:p>
    <w:p>
      <w:r>
        <w:rPr>
          <w:rFonts w:ascii="Arial" w:hAnsi="Arial"/>
          <w:b w:val="0"/>
          <w:i w:val="0"/>
          <w:color w:val="232830"/>
          <w:sz w:val="19"/>
        </w:rPr>
        <w:t>4. Bone health. Osteoporosis is documented in the setting of chronic steroid exposure and is not closed; alendronate was not administered inpatient and is to be reconciled at discharge. Continue calcium and vitamin D and reconcile alendronate with the outpatient record rather than recording bone health as complete.</w:t>
      </w:r>
    </w:p>
    <w:p>
      <w:r>
        <w:rPr>
          <w:rFonts w:ascii="Arial" w:hAnsi="Arial"/>
          <w:b w:val="0"/>
          <w:i w:val="0"/>
          <w:color w:val="232830"/>
          <w:sz w:val="19"/>
        </w:rPr>
        <w:t>5. PMR. Continue the prednisone taper per outpatient rheumatology; no numeric dose is asserted here, reconciliation deferred to rheumatology.</w:t>
      </w:r>
    </w:p>
    <w:p>
      <w:r>
        <w:rPr>
          <w:rFonts w:ascii="Arial" w:hAnsi="Arial"/>
          <w:b w:val="0"/>
          <w:i w:val="0"/>
          <w:color w:val="232830"/>
          <w:sz w:val="19"/>
        </w:rPr>
        <w:t>To finalize: the held agents and the deferred reconciliations are the open items; do not resume held therapy or close bone health in this plan.</w:t>
      </w:r>
    </w:p>
    <w:p>
      <w:pPr>
        <w:spacing w:before="200"/>
        <w:pBdr>
          <w:top w:val="single" w:sz="4" w:color="C9D4EA" w:space="4"/>
        </w:pBdr>
      </w:pPr>
      <w:r>
        <w:rPr>
          <w:rFonts w:ascii="Arial" w:hAnsi="Arial"/>
          <w:b w:val="0"/>
          <w:i/>
          <w:color w:val="5E6670"/>
          <w:sz w:val="18"/>
        </w:rPr>
        <w:t>Electronically signed by Elian Vossmere, MD  |  Hospital Medicine, Mercy Vale Regional Medical Center</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Pre-Discharge Medication Plan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