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MEDICATION RECONCILIATION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MEDICATION RECONCILIATION - SKILLED NURSING FACILITY TRANSFER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05/24/2026 | Status: Completed for physician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HOME MEDICATIONS (FROM THE ELECTRONIC RECORD, VERIFIED AT ADMISSION)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Insulin glargine 26 units subcutaneous nightly (type 2 diabetes, basal).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Insulin aspart sliding scale subcutaneous three times daily with meals (type 2 diabetes, prandial).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Furosemide 20 mg oral daily (heart failure, volume).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Atorvastatin 40 mg oral nightly (dyslipidemia, 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Aspirin 81 mg oral daily (peripheral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Clopidogrel 75 mg oral daily (peripheral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Gabapentin 300 mg oral three times daily (diabetic neuropathy; renally reviewed).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Ferrous sulfate 325 mg oral daily (anemia of chronic kidney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Cholecalciferol 2000 units oral daily (chronic kidney disease bone health).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Pantoprazole 40 mg oral daily (GERD).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Acetaminophen 650 mg oral three times daily as needed (knee osteoarthritis; NSAIDs avoided given chronic kidney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Held since 05/16 for acute kidney injury on chronic kidney disease and acute illness: metformin 500 mg oral twice daily, empagliflozin 10 mg oral daily, and lisinopril 20 mg oral daily. No restart entered.</w:t>
      </w:r>
    </w:p>
    <w:p>
      <w:r>
        <w:rPr>
          <w:rFonts w:ascii="Arial" w:hAnsi="Arial"/>
          <w:b w:val="0"/>
          <w:i w:val="0"/>
          <w:color w:val="232830"/>
          <w:sz w:val="19"/>
        </w:rPr>
        <w:t>Active inpatient antibiotic continues at transfer: cefepime 1 g intravenous every 12 hours, renally dosed (culture-directed).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RECONCILIATION: DISCREPANCIES AND MEDICATIONS TO STOP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potassium-based salt substitute among the home bottles must not be continued. It is a potassium load in chronic kidney disease stage 3b with resolving acute kidney injury and a held ACE inhibitor; with potassium already 4.1, continuing it risks hyperkalemia. Stop it and counsel against salt substitutes; sodium restriction should be dietary, not potassium-based.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Over-the-counter ibuprofen 200 mg is in the home bottles and not on the electronic list. It is a nonsteroidal anti-inflammatory drug and a nephrotoxin in acute kidney injury on chronic kidney disease. Do not continue it; stop it and counsel to discontinue; use acetaminophen for pain as listed.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Do not resume lisinopril at transfer. It is held for acute kidney injury; creatinine is improved (2.1 to 1.6) but not at baseline, and restart is deferred to outpatient renal recheck. Metformin and empagliflozin also remain held.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the remaining home medications and culture-directed cefepime as listed, renally dosed to current function.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ATTENDING VERIFICATION</w:t>
      </w:r>
    </w:p>
    <w:p>
      <w:r>
        <w:rPr>
          <w:rFonts w:ascii="Arial" w:hAnsi="Arial"/>
          <w:b w:val="0"/>
          <w:i w:val="0"/>
          <w:color w:val="232830"/>
          <w:sz w:val="19"/>
        </w:rPr>
        <w:t>Reconciled against the bottles the family brought in. The potassium-based salt substitute and the unlisted over-the-counter ibuprofen were identified and discontinued as hazards in acute kidney injury on chronic kidney disease; lisinopril and the other renal agents remain held. Ready for signature.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on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MEDICATION RECONCILIATION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MEDICATION RECONCILIATION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MEDICATION RECONCILIATION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