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POST-ACUTE COORDINATION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POST-ACUTE CARE COORDINATION AND TRANSFER HANDOFF - LIMB-THREAT DIABETIC FOOT INFECTION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Completed for physician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HOSPITAL COURSE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Limb-threatening left diabetic foot infection admitted 05/16, debrided hospital day 2 with a granulating base and no exposed bone. Deep-tissue culture grew MSSA and Streptococcus agalactiae. Soft-tissue infection improving: afebrile, WBC normalized to 8.9. Osteomyelitis not established. On culture-directed, renally dosed intravenous antibiotics, with Infectious Disease setting the step-down and total duration. AKI on CKD improving toward baseline. The wound requires daily skilled dressing changes and strict offloading.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POST-ACUTE NEEDS FINALIZED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Disposition cannot be finalized as home, and the started draft is wrong on this point. The record does not support home-based wound care now. Offloading teach-back was not achieved, the offloading device is still pending, and the daughter works night shifts and cannot provide daytime dressing changes or daily supervision. Case management left disposition undetermined.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Offloading is not established. The nursing flowsheet documents that offloading was not consistently maintained and the device was removed by the patient at times, with teach-back not achieved. A plantar forefoot wound does not heal without consistent offloading. Offloading must be demonstrated, with interpreter-supported teach-back, before any home plan.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supported disposition is a skilled nursing facility for daily wound care, offloading supervision, and continued therapy. Home with home-health is acceptable only after offloading teach-back is achieved, the device and home-health wound nursing are confirmed, and a caregiver schedule covers daily dressing changes.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the accurate items: culture-directed intravenous antibiotics with Infectious Disease step-down, skilled wound care, physical and occupational therapy with the stair assessment, and renal-dosed management. Use an interpreter for all teaching.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ATTENDING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started draft marked offloading teach-back, caregiver availability, and disposition as settled. The chart does not support this. Disposition is corrected to a skilled nursing facility, or home only after the offloading and caregiver contingencies are met. Ready for signature.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POST-ACUTE COORDINATION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POST-ACUTE COORDINATION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POST-ACUTE COORDINATION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