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MEDICATION RECONCILIATION</w:t>
            </w:r>
          </w:p>
        </w:tc>
      </w:tr>
    </w:tbl>
    <w:p/>
    <w:p>
      <w:r>
        <w:rPr>
          <w:rFonts w:ascii="Arial" w:hAnsi="Arial"/>
          <w:b/>
          <w:i w:val="0"/>
          <w:color w:val="1F3864"/>
          <w:sz w:val="28"/>
        </w:rPr>
        <w:t>DISCHARGE MEDICATION RECONCILIATION</w:t>
      </w:r>
    </w:p>
    <w:p>
      <w:r>
        <w:rPr>
          <w:rFonts w:ascii="Arial" w:hAnsi="Arial"/>
          <w:b w:val="0"/>
          <w:i w:val="0"/>
          <w:color w:val="5E6670"/>
          <w:sz w:val="16"/>
        </w:rPr>
        <w:t>Author: Lillian Everet, MD - Hospital Medicine | Date of Service: 05/22/2026 0830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SOURCES REVIEWED</w:t>
      </w:r>
    </w:p>
    <w:p>
      <w:r>
        <w:rPr>
          <w:rFonts w:ascii="Arial" w:hAnsi="Arial"/>
          <w:b w:val="0"/>
          <w:i w:val="0"/>
          <w:color w:val="232830"/>
          <w:sz w:val="19"/>
        </w:rPr>
        <w:t>Home medication list, medication administration record, admission medication-hold orders, renal function trend, infectious disease notes, and the discharge medication order set pending signature.</w:t>
      </w:r>
    </w:p>
    <w:p>
      <w:pPr>
        <w:spacing w:before="180" w:after="60"/>
        <w:pBdr>
          <w:bottom w:val="single" w:sz="6" w:color="C9D4EA" w:space="2"/>
        </w:pBdr>
      </w:pPr>
      <w:r>
        <w:rPr>
          <w:rFonts w:ascii="Arial" w:hAnsi="Arial"/>
          <w:b/>
          <w:i w:val="0"/>
          <w:color w:val="4472C4"/>
          <w:sz w:val="20"/>
        </w:rPr>
        <w:t>RECONCILED MEDICATIONS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3456"/>
        <w:gridCol w:w="3456"/>
        <w:gridCol w:w="3456"/>
      </w:tblGrid>
      <w:tr>
        <w:tc>
          <w:tcPr>
            <w:tcW w:type="dxa" w:w="3456"/>
            <w:shd w:val="clear" w:fill="4472C4"/>
          </w:tcPr>
          <w:p>
            <w:r>
              <w:rPr>
                <w:rFonts w:ascii="Arial" w:hAnsi="Arial"/>
                <w:b/>
                <w:i w:val="0"/>
                <w:color w:val="FFFFFF"/>
                <w:sz w:val="16"/>
              </w:rPr>
              <w:t>Medication</w:t>
            </w:r>
          </w:p>
        </w:tc>
        <w:tc>
          <w:tcPr>
            <w:tcW w:type="dxa" w:w="3456"/>
            <w:shd w:val="clear" w:fill="4472C4"/>
          </w:tcPr>
          <w:p>
            <w:r>
              <w:rPr>
                <w:rFonts w:ascii="Arial" w:hAnsi="Arial"/>
                <w:b/>
                <w:i w:val="0"/>
                <w:color w:val="FFFFFF"/>
                <w:sz w:val="16"/>
              </w:rPr>
              <w:t>Disposition</w:t>
            </w:r>
          </w:p>
        </w:tc>
        <w:tc>
          <w:tcPr>
            <w:tcW w:type="dxa" w:w="3456"/>
            <w:shd w:val="clear" w:fill="4472C4"/>
          </w:tcPr>
          <w:p>
            <w:r>
              <w:rPr>
                <w:rFonts w:ascii="Arial" w:hAnsi="Arial"/>
                <w:b/>
                <w:i w:val="0"/>
                <w:color w:val="FFFFFF"/>
                <w:sz w:val="16"/>
              </w:rPr>
              <w:t>Rationale</w:t>
            </w:r>
          </w:p>
        </w:tc>
      </w:tr>
      <w:tr>
        <w:tc>
          <w:tcPr>
            <w:tcW w:type="dxa" w:w="3456"/>
          </w:tcPr>
          <w:p>
            <w:r>
              <w:rPr>
                <w:rFonts w:ascii="Arial" w:hAnsi="Arial"/>
                <w:b w:val="0"/>
                <w:i w:val="0"/>
                <w:color w:val="232830"/>
                <w:sz w:val="16"/>
              </w:rPr>
              <w:t>Insulin glargine 26 units Subcutaneous nightly</w:t>
            </w:r>
          </w:p>
        </w:tc>
        <w:tc>
          <w:tcPr>
            <w:tcW w:type="dxa" w:w="3456"/>
          </w:tcPr>
          <w:p>
            <w:r>
              <w:rPr>
                <w:rFonts w:ascii="Arial" w:hAnsi="Arial"/>
                <w:b w:val="0"/>
                <w:i w:val="0"/>
                <w:color w:val="232830"/>
                <w:sz w:val="16"/>
              </w:rPr>
              <w:t>Continue, adjust to intake</w:t>
            </w:r>
          </w:p>
        </w:tc>
        <w:tc>
          <w:tcPr>
            <w:tcW w:type="dxa" w:w="3456"/>
          </w:tcPr>
          <w:p>
            <w:r>
              <w:rPr>
                <w:rFonts w:ascii="Arial" w:hAnsi="Arial"/>
                <w:b w:val="0"/>
                <w:i w:val="0"/>
                <w:color w:val="232830"/>
                <w:sz w:val="16"/>
              </w:rPr>
              <w:t>Home basal insulin, continued through the stay.</w:t>
            </w:r>
          </w:p>
        </w:tc>
      </w:tr>
      <w:tr>
        <w:tc>
          <w:tcPr>
            <w:tcW w:type="dxa" w:w="3456"/>
            <w:shd w:val="clear" w:fill="EDF2FA"/>
          </w:tcPr>
          <w:p>
            <w:r>
              <w:rPr>
                <w:rFonts w:ascii="Arial" w:hAnsi="Arial"/>
                <w:b w:val="0"/>
                <w:i w:val="0"/>
                <w:color w:val="232830"/>
                <w:sz w:val="16"/>
              </w:rPr>
              <w:t>Insulin aspart sliding scale Subcutaneous with meals</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Prandial coverage, no change indicated.</w:t>
            </w:r>
          </w:p>
        </w:tc>
      </w:tr>
      <w:tr>
        <w:tc>
          <w:tcPr>
            <w:tcW w:type="dxa" w:w="3456"/>
          </w:tcPr>
          <w:p>
            <w:r>
              <w:rPr>
                <w:rFonts w:ascii="Arial" w:hAnsi="Arial"/>
                <w:b w:val="0"/>
                <w:i w:val="0"/>
                <w:color w:val="232830"/>
                <w:sz w:val="16"/>
              </w:rPr>
              <w:t>Metformin 500 mg Oral twice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on chronic kidney disease, eGFR in the 30s near the metformin threshold. Resume only after renal function is confirmed stable as an outpatient. Do not resume at discharge.</w:t>
            </w:r>
          </w:p>
        </w:tc>
      </w:tr>
      <w:tr>
        <w:tc>
          <w:tcPr>
            <w:tcW w:type="dxa" w:w="3456"/>
            <w:shd w:val="clear" w:fill="EDF2FA"/>
          </w:tcPr>
          <w:p>
            <w:r>
              <w:rPr>
                <w:rFonts w:ascii="Arial" w:hAnsi="Arial"/>
                <w:b w:val="0"/>
                <w:i w:val="0"/>
                <w:color w:val="232830"/>
                <w:sz w:val="16"/>
              </w:rPr>
              <w:t>Empagliflozin 10 mg Oral daily</w:t>
            </w:r>
          </w:p>
        </w:tc>
        <w:tc>
          <w:tcPr>
            <w:tcW w:type="dxa" w:w="3456"/>
            <w:shd w:val="clear" w:fill="EDF2FA"/>
          </w:tcPr>
          <w:p>
            <w:r>
              <w:rPr>
                <w:rFonts w:ascii="Arial" w:hAnsi="Arial"/>
                <w:b w:val="0"/>
                <w:i w:val="0"/>
                <w:color w:val="232830"/>
                <w:sz w:val="16"/>
              </w:rPr>
              <w:t>Defer restart, remains held</w:t>
            </w:r>
          </w:p>
        </w:tc>
        <w:tc>
          <w:tcPr>
            <w:tcW w:type="dxa" w:w="3456"/>
            <w:shd w:val="clear" w:fill="EDF2FA"/>
          </w:tcPr>
          <w:p>
            <w:r>
              <w:rPr>
                <w:rFonts w:ascii="Arial" w:hAnsi="Arial"/>
                <w:b w:val="0"/>
                <w:i w:val="0"/>
                <w:color w:val="232830"/>
                <w:sz w:val="16"/>
              </w:rPr>
              <w:t>Held during acute infection for sick-day and euglycemic ketoacidosis risk. Resume as an outpatient once the acute illness has resolved and intake is reliable.</w:t>
            </w:r>
          </w:p>
        </w:tc>
      </w:tr>
      <w:tr>
        <w:tc>
          <w:tcPr>
            <w:tcW w:type="dxa" w:w="3456"/>
          </w:tcPr>
          <w:p>
            <w:r>
              <w:rPr>
                <w:rFonts w:ascii="Arial" w:hAnsi="Arial"/>
                <w:b w:val="0"/>
                <w:i w:val="0"/>
                <w:color w:val="232830"/>
                <w:sz w:val="16"/>
              </w:rPr>
              <w:t>Lisinopril 20 mg Oral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Restart is parameter-gated on a stable creatinine and volume status at outpatient follow-up.</w:t>
            </w:r>
          </w:p>
        </w:tc>
      </w:tr>
      <w:tr>
        <w:tc>
          <w:tcPr>
            <w:tcW w:type="dxa" w:w="3456"/>
            <w:shd w:val="clear" w:fill="EDF2FA"/>
          </w:tcPr>
          <w:p>
            <w:r>
              <w:rPr>
                <w:rFonts w:ascii="Arial" w:hAnsi="Arial"/>
                <w:b w:val="0"/>
                <w:i w:val="0"/>
                <w:color w:val="232830"/>
                <w:sz w:val="16"/>
              </w:rPr>
              <w:t>Furosemide 20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Volume management, monitor.</w:t>
            </w:r>
          </w:p>
        </w:tc>
      </w:tr>
      <w:tr>
        <w:tc>
          <w:tcPr>
            <w:tcW w:type="dxa" w:w="3456"/>
          </w:tcPr>
          <w:p>
            <w:r>
              <w:rPr>
                <w:rFonts w:ascii="Arial" w:hAnsi="Arial"/>
                <w:b w:val="0"/>
                <w:i w:val="0"/>
                <w:color w:val="232830"/>
                <w:sz w:val="16"/>
              </w:rPr>
              <w:t>Atorvastatin 40 mg Oral nightly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Secondary prevention.</w:t>
            </w:r>
          </w:p>
        </w:tc>
      </w:tr>
      <w:tr>
        <w:tc>
          <w:tcPr>
            <w:tcW w:type="dxa" w:w="3456"/>
            <w:shd w:val="clear" w:fill="EDF2FA"/>
          </w:tcPr>
          <w:p>
            <w:r>
              <w:rPr>
                <w:rFonts w:ascii="Arial" w:hAnsi="Arial"/>
                <w:b w:val="0"/>
                <w:i w:val="0"/>
                <w:color w:val="232830"/>
                <w:sz w:val="16"/>
              </w:rPr>
              <w:t>Aspirin 81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Peripheral arterial disease, secondary prevention.</w:t>
            </w:r>
          </w:p>
        </w:tc>
      </w:tr>
      <w:tr>
        <w:tc>
          <w:tcPr>
            <w:tcW w:type="dxa" w:w="3456"/>
          </w:tcPr>
          <w:p>
            <w:r>
              <w:rPr>
                <w:rFonts w:ascii="Arial" w:hAnsi="Arial"/>
                <w:b w:val="0"/>
                <w:i w:val="0"/>
                <w:color w:val="232830"/>
                <w:sz w:val="16"/>
              </w:rPr>
              <w:t>Clopidogrel 75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Peripheral arterial disease.</w:t>
            </w:r>
          </w:p>
        </w:tc>
      </w:tr>
      <w:tr>
        <w:tc>
          <w:tcPr>
            <w:tcW w:type="dxa" w:w="3456"/>
            <w:shd w:val="clear" w:fill="EDF2FA"/>
          </w:tcPr>
          <w:p>
            <w:r>
              <w:rPr>
                <w:rFonts w:ascii="Arial" w:hAnsi="Arial"/>
                <w:b w:val="0"/>
                <w:i w:val="0"/>
                <w:color w:val="232830"/>
                <w:sz w:val="16"/>
              </w:rPr>
              <w:t>Gabapentin 300 mg Oral three times daily</w:t>
            </w:r>
          </w:p>
        </w:tc>
        <w:tc>
          <w:tcPr>
            <w:tcW w:type="dxa" w:w="3456"/>
            <w:shd w:val="clear" w:fill="EDF2FA"/>
          </w:tcPr>
          <w:p>
            <w:r>
              <w:rPr>
                <w:rFonts w:ascii="Arial" w:hAnsi="Arial"/>
                <w:b w:val="0"/>
                <w:i w:val="0"/>
                <w:color w:val="232830"/>
                <w:sz w:val="16"/>
              </w:rPr>
              <w:t>Continue, renally dose-checked</w:t>
            </w:r>
          </w:p>
        </w:tc>
        <w:tc>
          <w:tcPr>
            <w:tcW w:type="dxa" w:w="3456"/>
            <w:shd w:val="clear" w:fill="EDF2FA"/>
          </w:tcPr>
          <w:p>
            <w:r>
              <w:rPr>
                <w:rFonts w:ascii="Arial" w:hAnsi="Arial"/>
                <w:b w:val="0"/>
                <w:i w:val="0"/>
                <w:color w:val="232830"/>
                <w:sz w:val="16"/>
              </w:rPr>
              <w:t>Neuropathic pain, dose appropriate for current renal function.</w:t>
            </w:r>
          </w:p>
        </w:tc>
      </w:tr>
      <w:tr>
        <w:tc>
          <w:tcPr>
            <w:tcW w:type="dxa" w:w="3456"/>
          </w:tcPr>
          <w:p>
            <w:r>
              <w:rPr>
                <w:rFonts w:ascii="Arial" w:hAnsi="Arial"/>
                <w:b w:val="0"/>
                <w:i w:val="0"/>
                <w:color w:val="232830"/>
                <w:sz w:val="16"/>
              </w:rPr>
              <w:t>Ferrous sulfate 325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Anemia of chronic kidney disease.</w:t>
            </w:r>
          </w:p>
        </w:tc>
      </w:tr>
      <w:tr>
        <w:tc>
          <w:tcPr>
            <w:tcW w:type="dxa" w:w="3456"/>
            <w:shd w:val="clear" w:fill="EDF2FA"/>
          </w:tcPr>
          <w:p>
            <w:r>
              <w:rPr>
                <w:rFonts w:ascii="Arial" w:hAnsi="Arial"/>
                <w:b w:val="0"/>
                <w:i w:val="0"/>
                <w:color w:val="232830"/>
                <w:sz w:val="16"/>
              </w:rPr>
              <w:t>Cholecalciferol 2000 units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Chronic kidney disease mineral and bone health.</w:t>
            </w:r>
          </w:p>
        </w:tc>
      </w:tr>
      <w:tr>
        <w:tc>
          <w:tcPr>
            <w:tcW w:type="dxa" w:w="3456"/>
          </w:tcPr>
          <w:p>
            <w:r>
              <w:rPr>
                <w:rFonts w:ascii="Arial" w:hAnsi="Arial"/>
                <w:b w:val="0"/>
                <w:i w:val="0"/>
                <w:color w:val="232830"/>
                <w:sz w:val="16"/>
              </w:rPr>
              <w:t>Pantoprazole 40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GERD.</w:t>
            </w:r>
          </w:p>
        </w:tc>
      </w:tr>
      <w:tr>
        <w:tc>
          <w:tcPr>
            <w:tcW w:type="dxa" w:w="3456"/>
            <w:shd w:val="clear" w:fill="EDF2FA"/>
          </w:tcPr>
          <w:p>
            <w:r>
              <w:rPr>
                <w:rFonts w:ascii="Arial" w:hAnsi="Arial"/>
                <w:b w:val="0"/>
                <w:i w:val="0"/>
                <w:color w:val="232830"/>
                <w:sz w:val="16"/>
              </w:rPr>
              <w:t>Acetaminophen 650 mg Oral three times daily as needed</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Knee osteoarthritis. NSAIDs are avoided in chronic kidney disease stage 3b.</w:t>
            </w:r>
          </w:p>
        </w:tc>
      </w:tr>
      <w:tr>
        <w:tc>
          <w:tcPr>
            <w:tcW w:type="dxa" w:w="3456"/>
          </w:tcPr>
          <w:p>
            <w:r>
              <w:rPr>
                <w:rFonts w:ascii="Arial" w:hAnsi="Arial"/>
                <w:b w:val="0"/>
                <w:i w:val="0"/>
                <w:color w:val="232830"/>
                <w:sz w:val="16"/>
              </w:rPr>
              <w:t>Enoxaparin 40 mg Subcutaneous daily</w:t>
            </w:r>
          </w:p>
        </w:tc>
        <w:tc>
          <w:tcPr>
            <w:tcW w:type="dxa" w:w="3456"/>
          </w:tcPr>
          <w:p>
            <w:r>
              <w:rPr>
                <w:rFonts w:ascii="Arial" w:hAnsi="Arial"/>
                <w:b w:val="0"/>
                <w:i w:val="0"/>
                <w:color w:val="232830"/>
                <w:sz w:val="16"/>
              </w:rPr>
              <w:t>Discontinue at discharge</w:t>
            </w:r>
          </w:p>
        </w:tc>
        <w:tc>
          <w:tcPr>
            <w:tcW w:type="dxa" w:w="3456"/>
          </w:tcPr>
          <w:p>
            <w:r>
              <w:rPr>
                <w:rFonts w:ascii="Arial" w:hAnsi="Arial"/>
                <w:b w:val="0"/>
                <w:i w:val="0"/>
                <w:color w:val="232830"/>
                <w:sz w:val="16"/>
              </w:rPr>
              <w:t>Inpatient venous thromboembolism prophylaxis for reduced mobility during admission. Not a home medication and not indicated for routine home use; the discharge order set carried it forward for continuation. Discontinue at discharge; continuing it adds bleeding risk on aspirin and clopidogrel.</w:t>
            </w:r>
          </w:p>
        </w:tc>
      </w:tr>
      <w:tr>
        <w:tc>
          <w:tcPr>
            <w:tcW w:type="dxa" w:w="3456"/>
            <w:shd w:val="clear" w:fill="EDF2FA"/>
          </w:tcPr>
          <w:p>
            <w:r>
              <w:rPr>
                <w:rFonts w:ascii="Arial" w:hAnsi="Arial"/>
                <w:b w:val="0"/>
                <w:i w:val="0"/>
                <w:color w:val="232830"/>
                <w:sz w:val="16"/>
              </w:rPr>
              <w:t>Discharge antibiotic, deep-tissue-culture directed, renally dosed</w:t>
            </w:r>
          </w:p>
        </w:tc>
        <w:tc>
          <w:tcPr>
            <w:tcW w:type="dxa" w:w="3456"/>
            <w:shd w:val="clear" w:fill="EDF2FA"/>
          </w:tcPr>
          <w:p>
            <w:r>
              <w:rPr>
                <w:rFonts w:ascii="Arial" w:hAnsi="Arial"/>
                <w:b w:val="0"/>
                <w:i w:val="0"/>
                <w:color w:val="232830"/>
                <w:sz w:val="16"/>
              </w:rPr>
              <w:t>Continue at a renally correct dose per infectious disease</w:t>
            </w:r>
          </w:p>
        </w:tc>
        <w:tc>
          <w:tcPr>
            <w:tcW w:type="dxa" w:w="3456"/>
            <w:shd w:val="clear" w:fill="EDF2FA"/>
          </w:tcPr>
          <w:p>
            <w:r>
              <w:rPr>
                <w:rFonts w:ascii="Arial" w:hAnsi="Arial"/>
                <w:b w:val="0"/>
                <w:i w:val="0"/>
                <w:color w:val="232830"/>
                <w:sz w:val="16"/>
              </w:rPr>
              <w:t>Directed by the deep-tissue culture, which outranks the superficial swab. Dose to the current eGFR. Do not carry the admission piperacillin-tazobactam 2.25 g Intravenous every 8 hours dose forward unchanged. Duration is not extended for osteomyelitis, which remains unconfirmed. Physician to confirm exact agent, route, and duration.</w:t>
            </w:r>
          </w:p>
        </w:tc>
      </w:tr>
    </w:tbl>
    <w:p/>
    <w:p>
      <w:pPr>
        <w:spacing w:before="180" w:after="60"/>
        <w:pBdr>
          <w:bottom w:val="single" w:sz="6" w:color="C9D4EA" w:space="2"/>
        </w:pBdr>
      </w:pPr>
      <w:r>
        <w:rPr>
          <w:rFonts w:ascii="Arial" w:hAnsi="Arial"/>
          <w:b/>
          <w:i w:val="0"/>
          <w:color w:val="4472C4"/>
          <w:sz w:val="20"/>
        </w:rPr>
        <w:t>PATIENT INSTRUCTIONS (PROVIDE IN SPANISH)</w:t>
      </w:r>
    </w:p>
    <w:p>
      <w:pPr>
        <w:pStyle w:val="ListBullet"/>
        <w:spacing w:after="30"/>
      </w:pPr>
      <w:r>
        <w:rPr>
          <w:rFonts w:ascii="Arial" w:hAnsi="Arial"/>
          <w:b w:val="0"/>
          <w:i w:val="0"/>
          <w:color w:val="232830"/>
          <w:sz w:val="19"/>
        </w:rPr>
        <w:t>Keep taking your night insulin and your mealtime insulin as shown.</w:t>
      </w:r>
    </w:p>
    <w:p>
      <w:pPr>
        <w:pStyle w:val="ListBullet"/>
        <w:spacing w:after="30"/>
      </w:pPr>
      <w:r>
        <w:rPr>
          <w:rFonts w:ascii="Arial" w:hAnsi="Arial"/>
          <w:b w:val="0"/>
          <w:i w:val="0"/>
          <w:color w:val="232830"/>
          <w:sz w:val="19"/>
        </w:rPr>
        <w:t>Do not restart metformin, empagliflozin, or lisinopril until your kidney or primary doctor tells you to.</w:t>
      </w:r>
    </w:p>
    <w:p>
      <w:pPr>
        <w:pStyle w:val="ListBullet"/>
        <w:spacing w:after="30"/>
      </w:pPr>
      <w:r>
        <w:rPr>
          <w:rFonts w:ascii="Arial" w:hAnsi="Arial"/>
          <w:b w:val="0"/>
          <w:i w:val="0"/>
          <w:color w:val="232830"/>
          <w:sz w:val="19"/>
        </w:rPr>
        <w:t>The blood-thinner injection (enoxaparin) you received in the hospital stops now; you do not take it at home.</w:t>
      </w:r>
    </w:p>
    <w:p>
      <w:pPr>
        <w:pStyle w:val="ListBullet"/>
        <w:spacing w:after="30"/>
      </w:pPr>
      <w:r>
        <w:rPr>
          <w:rFonts w:ascii="Arial" w:hAnsi="Arial"/>
          <w:b w:val="0"/>
          <w:i w:val="0"/>
          <w:color w:val="232830"/>
          <w:sz w:val="19"/>
        </w:rPr>
        <w:t>For knee pain use acetaminophen. Do not use ibuprofen, naproxen, or other anti-inflammatory pain pills.</w:t>
      </w:r>
    </w:p>
    <w:p>
      <w:pPr>
        <w:pStyle w:val="ListBullet"/>
        <w:spacing w:after="30"/>
      </w:pPr>
      <w:r>
        <w:rPr>
          <w:rFonts w:ascii="Arial" w:hAnsi="Arial"/>
          <w:b w:val="0"/>
          <w:i w:val="0"/>
          <w:color w:val="232830"/>
          <w:sz w:val="19"/>
        </w:rPr>
        <w:t>Take your antibiotic exactly as written and finish the full course.</w:t>
      </w:r>
    </w:p>
    <w:p>
      <w:pPr>
        <w:pStyle w:val="ListBullet"/>
        <w:spacing w:after="30"/>
      </w:pPr>
      <w:r>
        <w:rPr>
          <w:rFonts w:ascii="Arial" w:hAnsi="Arial"/>
          <w:b w:val="0"/>
          <w:i w:val="0"/>
          <w:color w:val="232830"/>
          <w:sz w:val="19"/>
        </w:rPr>
        <w:t>Care for your foot wound as instructed and keep all follow-up visits.</w:t>
      </w:r>
    </w:p>
    <w:p>
      <w:pPr>
        <w:pStyle w:val="ListBullet"/>
        <w:spacing w:after="30"/>
      </w:pPr>
      <w:r>
        <w:rPr>
          <w:rFonts w:ascii="Arial" w:hAnsi="Arial"/>
          <w:b w:val="0"/>
          <w:i w:val="0"/>
          <w:color w:val="232830"/>
          <w:sz w:val="19"/>
        </w:rPr>
        <w:t>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Exact discharge antibiotic agent, route, and duration, renally dosed and deep-culture directed. The sulfa allergy excludes trimethoprim-sulfamethoxazole.</w:t>
      </w:r>
    </w:p>
    <w:p>
      <w:pPr>
        <w:pStyle w:val="ListBullet"/>
        <w:spacing w:after="30"/>
      </w:pPr>
      <w:r>
        <w:rPr>
          <w:rFonts w:ascii="Arial" w:hAnsi="Arial"/>
          <w:b w:val="0"/>
          <w:i w:val="0"/>
          <w:color w:val="232830"/>
          <w:sz w:val="19"/>
        </w:rPr>
        <w:t>Restart parameters and timing for metformin, empagliflozin, and lisinopril at outpatient follow-up.</w:t>
      </w:r>
    </w:p>
    <w:p>
      <w:pPr>
        <w:spacing w:before="200"/>
        <w:pBdr>
          <w:top w:val="single" w:sz="4" w:color="C9D4EA" w:space="4"/>
        </w:pBdr>
      </w:pPr>
      <w:r>
        <w:rPr>
          <w:rFonts w:ascii="Arial" w:hAnsi="Arial"/>
          <w:b w:val="0"/>
          <w:i/>
          <w:color w:val="5E6670"/>
          <w:sz w:val="18"/>
        </w:rPr>
        <w:t>Electronically signed by Lillian Everet, MD | Hospital Medicine | 05/22/2026 0830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