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100" w:line="280" w:lineRule="auto"/>
      </w:pPr>
      <w:r>
        <w:rPr>
          <w:rFonts w:ascii="Arial" w:hAnsi="Arial"/>
          <w:b/>
          <w:color w:val="111827"/>
          <w:sz w:val="38"/>
        </w:rPr>
        <w:t>Marva Lydell World Spec Claude Transcript</w:t>
      </w:r>
    </w:p>
    <w:p>
      <w:pPr>
        <w:spacing w:before="0" w:after="60" w:line="250" w:lineRule="auto"/>
      </w:pPr>
      <w:r>
        <w:rPr>
          <w:rFonts w:ascii="Arial" w:hAnsi="Arial"/>
          <w:color w:val="374151"/>
          <w:sz w:val="20"/>
        </w:rPr>
        <w:t>Run: Sanctum Coach veteran-mode World Spec session</w:t>
      </w:r>
    </w:p>
    <w:p>
      <w:pPr>
        <w:spacing w:before="0" w:after="60" w:line="250" w:lineRule="auto"/>
      </w:pPr>
      <w:r>
        <w:rPr>
          <w:rFonts w:ascii="Arial" w:hAnsi="Arial"/>
          <w:color w:val="374151"/>
          <w:sz w:val="20"/>
        </w:rPr>
        <w:t>Source: claude.ai share URL to be attached on submit</w:t>
      </w:r>
    </w:p>
    <w:p>
      <w:pPr>
        <w:spacing w:before="0" w:after="60" w:line="250" w:lineRule="auto"/>
      </w:pPr>
      <w:r>
        <w:rPr>
          <w:rFonts w:ascii="Arial" w:hAnsi="Arial"/>
          <w:color w:val="374151"/>
          <w:sz w:val="20"/>
        </w:rPr>
        <w:t>Session date: June 20, 2026</w:t>
      </w:r>
    </w:p>
    <w:p>
      <w:pPr>
        <w:spacing w:before="0" w:after="60" w:line="250" w:lineRule="auto"/>
      </w:pPr>
      <w:r>
        <w:rPr>
          <w:rFonts w:ascii="Arial" w:hAnsi="Arial"/>
          <w:color w:val="374151"/>
          <w:sz w:val="20"/>
        </w:rPr>
        <w:t>Scope: World Spec substrate ratification, spec assembly, file plan, the Sanctum Coach veteran assembly and audit, the timeline correction, and the submission DOCX build</w:t>
      </w:r>
    </w:p>
    <w:p>
      <w:pPr>
        <w:spacing w:before="0" w:after="60" w:line="250" w:lineRule="auto"/>
      </w:pPr>
      <w:r>
        <w:rPr>
          <w:rFonts w:ascii="Arial" w:hAnsi="Arial"/>
          <w:color w:val="374151"/>
          <w:sz w:val="20"/>
        </w:rPr>
        <w:t>Status at close: World Spec and submission DOCX built and audited, reference template curation pending, then the automated quality check and human review</w:t>
      </w:r>
    </w:p>
    <w:p>
      <w:pPr>
        <w:spacing w:before="280" w:after="20" w:line="250" w:lineRule="auto"/>
      </w:pPr>
      <w:r>
        <w:rPr>
          <w:rFonts w:ascii="Arial" w:hAnsi="Arial"/>
          <w:b/>
          <w:color w:val="1F4D78"/>
          <w:sz w:val="24"/>
        </w:rPr>
        <w:t>1.</w:t>
      </w:r>
    </w:p>
    <w:p>
      <w:pPr>
        <w:spacing w:before="60" w:after="60" w:line="250" w:lineRule="auto"/>
      </w:pPr>
      <w:r>
        <w:rPr>
          <w:rFonts w:ascii="Arial" w:hAnsi="Arial"/>
          <w:b/>
          <w:color w:val="6B7280"/>
          <w:sz w:val="22"/>
        </w:rPr>
        <w:t>System</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8FAFC"/>
            <w:tcBorders>
              <w:top w:val="single" w:sz="6" w:space="0" w:color="CBD5E1"/>
              <w:right w:val="single" w:sz="6" w:space="0" w:color="CBD5E1"/>
              <w:bottom w:val="single" w:sz="6" w:space="0" w:color="CBD5E1"/>
              <w:left w:val="single" w:sz="14" w:space="0" w:color="6B7280"/>
            </w:tcBorders>
          </w:tcPr>
          <w:p>
            <w:pPr>
              <w:spacing w:before="0" w:after="20" w:line="232" w:lineRule="auto"/>
            </w:pPr>
            <w:r>
              <w:rPr>
                <w:rFonts w:ascii="Courier New" w:hAnsi="Courier New"/>
                <w:color w:val="111827"/>
                <w:sz w:val="17"/>
              </w:rPr>
              <w:t>Human: You are continuing the same session with Dr. Alexander Udeogaranya, now in World Spec scope. He owns every clinical determination. Do not take platform action. Standing rule: any clinical value he does not supply is generated concordant with the patient profile and flagged for ratification, never asserted as fact.</w:t>
            </w:r>
          </w:p>
        </w:tc>
      </w:tr>
    </w:tbl>
    <w:p>
      <w:pPr>
        <w:spacing w:before="0" w:after="60" w:line="200" w:lineRule="auto"/>
      </w:pPr>
    </w:p>
    <w:p/>
    <w:p>
      <w:pPr>
        <w:spacing w:before="280" w:after="20" w:line="250" w:lineRule="auto"/>
      </w:pPr>
      <w:r>
        <w:rPr>
          <w:rFonts w:ascii="Arial" w:hAnsi="Arial"/>
          <w:b/>
          <w:color w:val="1F4D78"/>
          <w:sz w:val="24"/>
        </w:rPr>
        <w:t>2.</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The Brainstorm is approved. Authorize the phase shift to the World Spec and run continuous through substrate, spec, and the file plan. Keep my clinical authority. Flag anything you derive so I can strike or approve it in one pass. Hold the workflow lanes to the lead's current cut.</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Understood. I will run the phases back to back and keep one hold: no invented clinical specificity asserted as fact, and the lead's lanes stay as locked.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Plan: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Phase A, substrate. The clinical anchors for this patient, each flagged for your ratification.</w:t>
            </w:r>
          </w:p>
          <w:p>
            <w:pPr>
              <w:spacing w:before="0" w:after="20" w:line="232" w:lineRule="auto"/>
            </w:pPr>
            <w:r>
              <w:rPr>
                <w:rFonts w:ascii="Courier New" w:hAnsi="Courier New"/>
                <w:color w:val="111827"/>
                <w:sz w:val="17"/>
              </w:rPr>
              <w:t>2. Phase B, spec. Clinical scenario, ten task specifications on the locked lanes, the world file plan, and the summary.</w:t>
            </w:r>
          </w:p>
          <w:p>
            <w:pPr>
              <w:spacing w:before="0" w:after="20" w:line="232" w:lineRule="auto"/>
            </w:pPr>
            <w:r>
              <w:rPr>
                <w:rFonts w:ascii="Courier New" w:hAnsi="Courier New"/>
                <w:color w:val="111827"/>
                <w:sz w:val="17"/>
              </w:rPr>
              <w:t>3. Phase C, the Coach. Run the finished spec through the Sanctum Coach veteran path to assemble it to the template and audit it.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Derived values stay flagged until you ratify them. Final task prompts, reference answers, and scoring guidance remain yours.</w:t>
            </w:r>
          </w:p>
        </w:tc>
      </w:tr>
    </w:tbl>
    <w:p>
      <w:pPr>
        <w:spacing w:before="0" w:after="60" w:line="200" w:lineRule="auto"/>
      </w:pPr>
    </w:p>
    <w:p/>
    <w:p>
      <w:pPr>
        <w:spacing w:before="280" w:after="20" w:line="250" w:lineRule="auto"/>
      </w:pPr>
      <w:r>
        <w:rPr>
          <w:rFonts w:ascii="Arial" w:hAnsi="Arial"/>
          <w:b/>
          <w:color w:val="1F4D78"/>
          <w:sz w:val="24"/>
        </w:rPr>
        <w:t>3.</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Phase A. Give me the substrate. Identity, the comorbidity profile, medications with the inpatient holds, the renal, volume, and oxygen trajectory, the care team, and the timeline. Flag every number.</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Substrate for ratification: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Identity:</w:t>
            </w:r>
          </w:p>
          <w:p>
            <w:pPr>
              <w:spacing w:before="0" w:after="20" w:line="232" w:lineRule="auto"/>
            </w:pPr>
            <w:r>
              <w:rPr>
                <w:rFonts w:ascii="Courier New" w:hAnsi="Courier New"/>
                <w:color w:val="111827"/>
                <w:sz w:val="17"/>
              </w:rPr>
              <w:t>Marva Lydell, 72-year-old Black woman, widowed, lives alone in a two-story home with the bedroom upstairs. Adult daughter lives nearby but works full time, so support is real but partial. Medicare with a Medicare Advantage plan. Documented ACE-inhibitor angioedema, so she is maintained on an angiotensin receptor blocker.</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Problem list:</w:t>
            </w:r>
          </w:p>
          <w:p>
            <w:pPr>
              <w:spacing w:before="0" w:after="20" w:line="232" w:lineRule="auto"/>
            </w:pPr>
            <w:r>
              <w:rPr>
                <w:rFonts w:ascii="Courier New" w:hAnsi="Courier New"/>
                <w:color w:val="111827"/>
                <w:sz w:val="17"/>
              </w:rPr>
              <w:t>Heart failure with preserved ejection fraction, atrial fibrillation on anticoagulation, coronary artery disease with prior PCI, CKD stage 3b to 4, COPD, obstructive sleep apnea on CPAP, type 2 diabetes with peripheral neuropathy, hypertension, obesity, anemia of CKD, vitamin D deficiency, and the quieter background of hypothyroidism, reflux, and constipation.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Medications and inpatient holds:</w:t>
            </w:r>
          </w:p>
          <w:p>
            <w:pPr>
              <w:spacing w:before="0" w:after="20" w:line="232" w:lineRule="auto"/>
            </w:pPr>
            <w:r>
              <w:rPr>
                <w:rFonts w:ascii="Courier New" w:hAnsi="Courier New"/>
                <w:color w:val="111827"/>
                <w:sz w:val="17"/>
              </w:rPr>
              <w:t>Empagliflozin, spironolactone, losartan, and metformin held for the acute illness and the kidney injury. Torsemide continued and adjusted. Rate control and anticoagulation continued. Insulin, inhalers, statin, and the chronic agents continued with renal dose checks.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Trajectory anchors, flagged:</w:t>
            </w:r>
          </w:p>
          <w:p>
            <w:pPr>
              <w:spacing w:before="0" w:after="20" w:line="232" w:lineRule="auto"/>
            </w:pPr>
            <w:r>
              <w:rPr>
                <w:rFonts w:ascii="Courier New" w:hAnsi="Courier New"/>
                <w:color w:val="111827"/>
                <w:sz w:val="17"/>
              </w:rPr>
              <w:t>Baseline creatinine 1.7 with an estimated GFR near 30, peak 2.6 on admission, improving to 1.9 by the snapshot. Dry weight about 88 kg, up about 7 kg on admission, down about 5 kg by the snapshot. Resting saturation 88 percent on admission improving to an acceptable resting level, with a respiratory therapy walk test showing desaturation into the low 80s on exertion that corrects only with portable oxygen. Preserved ejection fraction near 60 percent with grade II diastolic dysfunction. HbA1c 7.8, baseline hemoglobin near 10.</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Care team and timeline:</w:t>
            </w:r>
          </w:p>
          <w:p>
            <w:pPr>
              <w:spacing w:before="0" w:after="20" w:line="232" w:lineRule="auto"/>
            </w:pPr>
            <w:r>
              <w:rPr>
                <w:rFonts w:ascii="Courier New" w:hAnsi="Courier New"/>
                <w:color w:val="111827"/>
                <w:sz w:val="17"/>
              </w:rPr>
              <w:t>A full hospital medicine, cardiology, nephrology, pulmonology, respiratory therapy, physical therapy, occupational therapy, pharmacy, and case management roster. A seven-day admission, snapshot 06/19/2025 at 18:00, hospital day seven, with task anchors 06/20 through 06/26.</w:t>
            </w:r>
          </w:p>
        </w:tc>
      </w:tr>
    </w:tbl>
    <w:p>
      <w:pPr>
        <w:spacing w:before="0" w:after="60" w:line="200" w:lineRule="auto"/>
      </w:pPr>
    </w:p>
    <w:p/>
    <w:p>
      <w:pPr>
        <w:spacing w:before="280" w:after="20" w:line="250" w:lineRule="auto"/>
      </w:pPr>
      <w:r>
        <w:rPr>
          <w:rFonts w:ascii="Arial" w:hAnsi="Arial"/>
          <w:b/>
          <w:color w:val="1F4D78"/>
          <w:sz w:val="24"/>
        </w:rPr>
        <w:t>4.</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Ratified. The exertional oxygen finding is the spine. Phase B. Assemble the spec. Ten tasks on the locked lanes, the file plan, the summary.</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World Spec assembled: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Clinical scenario. An improving but operationally unsafe cardiorenal respiratory transition. The record reads better at a glance, resting saturation acceptable, weight and creatinine improving, while the walk test, the therapy findings, the equipment status, and the home picture say the next move is not safe.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Ten tasks, each independent and anchored after the snapshot, on the lead's locked lanes:</w:t>
            </w:r>
          </w:p>
          <w:p>
            <w:pPr>
              <w:spacing w:before="0" w:after="20" w:line="232" w:lineRule="auto"/>
            </w:pPr>
            <w:r>
              <w:rPr>
                <w:rFonts w:ascii="Courier New" w:hAnsi="Courier New"/>
                <w:color w:val="111827"/>
                <w:sz w:val="17"/>
              </w:rPr>
              <w:t>1. Oxygen and skilled-nursing denial appeal. Claims Denial Analysis and Appeal Preparation, P0. The integration anchor.</w:t>
            </w:r>
          </w:p>
          <w:p>
            <w:pPr>
              <w:spacing w:before="0" w:after="20" w:line="232" w:lineRule="auto"/>
            </w:pPr>
            <w:r>
              <w:rPr>
                <w:rFonts w:ascii="Courier New" w:hAnsi="Courier New"/>
                <w:color w:val="111827"/>
                <w:sz w:val="17"/>
              </w:rPr>
              <w:t>2. Discharge medication reconciliation. Discharge Medication Reconciliation, P0.</w:t>
            </w:r>
          </w:p>
          <w:p>
            <w:pPr>
              <w:spacing w:before="0" w:after="20" w:line="232" w:lineRule="auto"/>
            </w:pPr>
            <w:r>
              <w:rPr>
                <w:rFonts w:ascii="Courier New" w:hAnsi="Courier New"/>
                <w:color w:val="111827"/>
                <w:sz w:val="17"/>
              </w:rPr>
              <w:t>3. Continued-stay determination. Utilization Review Concurrent Stay Documentation, P1.</w:t>
            </w:r>
          </w:p>
          <w:p>
            <w:pPr>
              <w:spacing w:before="0" w:after="20" w:line="232" w:lineRule="auto"/>
            </w:pPr>
            <w:r>
              <w:rPr>
                <w:rFonts w:ascii="Courier New" w:hAnsi="Courier New"/>
                <w:color w:val="111827"/>
                <w:sz w:val="17"/>
              </w:rPr>
              <w:t>4. Transition note completion. Medical Transcription and Clinical Documentation Completion, P0. A true placeholder.</w:t>
            </w:r>
          </w:p>
          <w:p>
            <w:pPr>
              <w:spacing w:before="0" w:after="20" w:line="232" w:lineRule="auto"/>
            </w:pPr>
            <w:r>
              <w:rPr>
                <w:rFonts w:ascii="Courier New" w:hAnsi="Courier New"/>
                <w:color w:val="111827"/>
                <w:sz w:val="17"/>
              </w:rPr>
              <w:t>5. Post-acute coordination plan. Post-Acute Care Coordination Documentation, P0.</w:t>
            </w:r>
          </w:p>
          <w:p>
            <w:pPr>
              <w:spacing w:before="0" w:after="20" w:line="232" w:lineRule="auto"/>
            </w:pPr>
            <w:r>
              <w:rPr>
                <w:rFonts w:ascii="Courier New" w:hAnsi="Courier New"/>
                <w:color w:val="111827"/>
                <w:sz w:val="17"/>
              </w:rPr>
              <w:t>6. Cardiorenal follow-up referral. Specialist Referral Letter and Documentation Preparation, P0. A true placeholder.</w:t>
            </w:r>
          </w:p>
          <w:p>
            <w:pPr>
              <w:spacing w:before="0" w:after="20" w:line="232" w:lineRule="auto"/>
            </w:pPr>
            <w:r>
              <w:rPr>
                <w:rFonts w:ascii="Courier New" w:hAnsi="Courier New"/>
                <w:color w:val="111827"/>
                <w:sz w:val="17"/>
              </w:rPr>
              <w:t>7. Home health versus skilled-nursing appeal. Claims Denial Analysis and Appeal Preparation, P0.</w:t>
            </w:r>
          </w:p>
          <w:p>
            <w:pPr>
              <w:spacing w:before="0" w:after="20" w:line="232" w:lineRule="auto"/>
            </w:pPr>
            <w:r>
              <w:rPr>
                <w:rFonts w:ascii="Courier New" w:hAnsi="Courier New"/>
                <w:color w:val="111827"/>
                <w:sz w:val="17"/>
              </w:rPr>
              <w:t>8. Post-readmission corrective-action review. Corrective Action Plan (CAP) Development and Tracking, P1.</w:t>
            </w:r>
          </w:p>
          <w:p>
            <w:pPr>
              <w:spacing w:before="0" w:after="20" w:line="232" w:lineRule="auto"/>
            </w:pPr>
            <w:r>
              <w:rPr>
                <w:rFonts w:ascii="Courier New" w:hAnsi="Courier New"/>
                <w:color w:val="111827"/>
                <w:sz w:val="17"/>
              </w:rPr>
              <w:t>9. Heart-failure transition quality abstraction. HEDIS Medical Record Chart Abstraction and Review, P0.</w:t>
            </w:r>
          </w:p>
          <w:p>
            <w:pPr>
              <w:spacing w:before="0" w:after="20" w:line="232" w:lineRule="auto"/>
            </w:pPr>
            <w:r>
              <w:rPr>
                <w:rFonts w:ascii="Courier New" w:hAnsi="Courier New"/>
                <w:color w:val="111827"/>
                <w:sz w:val="17"/>
              </w:rPr>
              <w:t>10. Documentation-integrity query response. Clinical Documentation Improvement (CDI) Query Response Review, P0.</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File plan. Thirty-two essential world-level files, eleven task-level, four supplementary, forty-seven in all, thirty-six at world level over the thirty minimum. The shared chart stays raw. Every wrong lives in a task-level input the requester reviews, a denial, a worksheet, an outside list, a started draft, never planted in the patient's own record. The two completion tasks use true placeholders, open sections to finish rather than false closures to distrust. One writer-produced rhythm strip is marked for separate rendering; the rest map to DataBank or custom templates for the curation phase.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Summary. The world tests whether a clinician can hold two true things at once, that she is improving and that she is not safe to go home, and act on the second across ten administrative and clinical encounters.</w:t>
            </w:r>
          </w:p>
        </w:tc>
      </w:tr>
    </w:tbl>
    <w:p>
      <w:pPr>
        <w:spacing w:before="0" w:after="60" w:line="200" w:lineRule="auto"/>
      </w:pPr>
    </w:p>
    <w:p/>
    <w:p>
      <w:pPr>
        <w:spacing w:before="280" w:after="20" w:line="250" w:lineRule="auto"/>
      </w:pPr>
      <w:r>
        <w:rPr>
          <w:rFonts w:ascii="Arial" w:hAnsi="Arial"/>
          <w:b/>
          <w:color w:val="1F4D78"/>
          <w:sz w:val="24"/>
        </w:rPr>
        <w:t>5.</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Hold the lanes. Phase C. Run it through the Sanctum Coach veteran path. Assemble to the World Spec template and audit against the pre-submission checklist.</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Done. In the Coach I activated the veteran path, named the World Spec phase, and attached the finished spec. It assembled the spec into the World Spec template, the cover header, the four sections, the per-task blocks, and the seven-column file tables, and walked the lead checklist and the full pre-submission audit, cross-checking all ten lanes against its list.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build is strong. Timeline, two workflow findings, one soft item, and the rest clean. Details next.</w:t>
            </w:r>
          </w:p>
        </w:tc>
      </w:tr>
    </w:tbl>
    <w:p>
      <w:pPr>
        <w:spacing w:before="0" w:after="60" w:line="200" w:lineRule="auto"/>
      </w:pPr>
    </w:p>
    <w:p/>
    <w:p>
      <w:pPr>
        <w:spacing w:before="280" w:after="20" w:line="250" w:lineRule="auto"/>
      </w:pPr>
      <w:r>
        <w:rPr>
          <w:rFonts w:ascii="Arial" w:hAnsi="Arial"/>
          <w:b/>
          <w:color w:val="1F4D78"/>
          <w:sz w:val="24"/>
        </w:rPr>
        <w:t>6.</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The timeline first. That was the prior blocker.</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Timeline passes now.</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Coach verified the snapshot at 06/19/2025 18:00, every task anchored 06/20 through 06/26, the latest anchor Task 10 on 06/26, and every world-level file dated on or before the snapshot. The whole calendar sits before the knowledge cutoff. The earlier July dates would have failed the date check, so I had shifted the entire timeline back twenty-one days into June, which moved every date and every filename stamp together and changed no clinical content. The blocker is cleared.</w:t>
            </w:r>
          </w:p>
        </w:tc>
      </w:tr>
    </w:tbl>
    <w:p>
      <w:pPr>
        <w:spacing w:before="0" w:after="60" w:line="200" w:lineRule="auto"/>
      </w:pPr>
    </w:p>
    <w:p/>
    <w:p>
      <w:pPr>
        <w:spacing w:before="280" w:after="20" w:line="250" w:lineRule="auto"/>
      </w:pPr>
      <w:r>
        <w:rPr>
          <w:rFonts w:ascii="Arial" w:hAnsi="Arial"/>
          <w:b/>
          <w:color w:val="1F4D78"/>
          <w:sz w:val="24"/>
        </w:rPr>
        <w:t>7.</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The workflow findings. We hold the lead's cut.</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Two findings, both the known stale-list gap, and I held your cut.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Coach checks lanes against the list it fetches, which lags your lead's current cut. Against that list, Task 6 (Specialist Referral Letter and Documentation Preparation, P0) is not a listed name and the nearest referral lanes are P1, and Task 10 (CDI Query Response Review) is listed at P1 rather than P0. The Coach declined to overwrite the lead's cut and recommended reconciling with the lead, which is exactly what the lock is. Task 2 it accepted as P0. The at-least-one-P0 requirement is safe regardless. I recorded both for your lead reconciliation and changed nothing.</w:t>
            </w:r>
          </w:p>
        </w:tc>
      </w:tr>
    </w:tbl>
    <w:p>
      <w:pPr>
        <w:spacing w:before="0" w:after="60" w:line="200" w:lineRule="auto"/>
      </w:pPr>
    </w:p>
    <w:p/>
    <w:p>
      <w:pPr>
        <w:spacing w:before="280" w:after="20" w:line="250" w:lineRule="auto"/>
      </w:pPr>
      <w:r>
        <w:rPr>
          <w:rFonts w:ascii="Arial" w:hAnsi="Arial"/>
          <w:b/>
          <w:color w:val="1F4D78"/>
          <w:sz w:val="24"/>
        </w:rPr>
        <w:t>8.</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The rest of the audit.</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The soft item: Tasks 1 and 7 both map to the denial-appeal workflow and both are physician appeal letters. The Coach judged them differentiated rather than duplicate, Task 1 the integration anchor leading on oxygen and equipment, Task 7 leading on medication complexity and level of care. Soft guideline only.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Clean: self-containment and no stacking; the two completion drafts are true placeholders rather than planted falsehoods; the thirty-six world-level files clear the minimum with monotonic non-colliding IDs and datestamped filenames; five traps per task, each locked to a date and a document with a single primary owner for shared traps; physician voice on all ten including the attested abstraction and the coordination handoff; a complete patient profile with synthetic name and MRN, allergies with reaction, code status, the care-team roster, the friction table, and dosed home meds, internally consistent across every section; differentiated, leak-free expected outputs and prompts. No British spellings survived.</w:t>
            </w:r>
          </w:p>
        </w:tc>
      </w:tr>
    </w:tbl>
    <w:p>
      <w:pPr>
        <w:spacing w:before="0" w:after="60" w:line="200" w:lineRule="auto"/>
      </w:pPr>
    </w:p>
    <w:p/>
    <w:p>
      <w:pPr>
        <w:spacing w:before="280" w:after="20" w:line="250" w:lineRule="auto"/>
      </w:pPr>
      <w:r>
        <w:rPr>
          <w:rFonts w:ascii="Arial" w:hAnsi="Arial"/>
          <w:b/>
          <w:color w:val="1F4D78"/>
          <w:sz w:val="24"/>
        </w:rPr>
        <w:t>9.</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Lock it and build the submission document.</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Built.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 rendered the submission DOCX from the locked markdown through the same Mode A clone path used for the prior world, so the styling matches the approved base: Arial throughout, the blue section and table headers, the cover box, and the file tables. The integrity gate passed, styles byte-identical to the base, the color palette in range, no dashes, and the fingerprint matches.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Content verified in the document: the cover, the June 19 snapshot, all ten tasks with the locked lanes and tiers at eight P0 and two P1, the file plan from EW1 to EW32 with the task-level and supplementary tables, and the World Summary. The file is Alexander_World_Marva_latest_6_20.docx.</w:t>
            </w:r>
          </w:p>
        </w:tc>
      </w:tr>
    </w:tbl>
    <w:p>
      <w:pPr>
        <w:spacing w:before="0" w:after="60" w:line="200" w:lineRule="auto"/>
      </w:pPr>
    </w:p>
    <w:p/>
    <w:p>
      <w:pPr>
        <w:spacing w:before="280" w:after="20" w:line="250" w:lineRule="auto"/>
      </w:pPr>
      <w:r>
        <w:rPr>
          <w:rFonts w:ascii="Arial" w:hAnsi="Arial"/>
          <w:b/>
          <w:color w:val="1F4D78"/>
          <w:sz w:val="24"/>
        </w:rPr>
        <w:t>10.</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Readiness and what remains.</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Readiness: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World Spec, the submission DOCX, and both transcripts are ready for your review.</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What remains is yours and the next phase. Reference template curation comes next, one template or reference per world-level row, with the rhythm strip rendered separately, then the spec and the templates upload together for the automated quality check and human review. The task prompts, the reference answers, and the scoring guidance stay physician-authored. I did not take any platform action.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Boundary held: every derived clinical value was flagged and ratified before it was used, the lead's lanes were held and the stale-list findings recorded rather than applied, and nothing was asserted as fact without your approval.</w:t>
            </w:r>
          </w:p>
        </w:tc>
      </w:tr>
    </w:tbl>
    <w:p>
      <w:pPr>
        <w:spacing w:before="0" w:after="60" w:line="200" w:lineRule="auto"/>
      </w:pP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Ondina Vasquell World Spec Claude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Ondina Vasquell World Spec Claude Transcript</dc:title>
  <dc:subject/>
  <dc:creator/>
  <cp:keywords/>
  <dc:description/>
  <cp:lastModifiedBy/>
  <cp:revision>1</cp:revision>
  <dcterms:created xsi:type="dcterms:W3CDTF">2020-01-01T00:00:00Z</dcterms:created>
  <dcterms:modified xsi:type="dcterms:W3CDTF">2020-01-01T00:00:00Z</dcterms:modified>
  <cp:category/>
</cp:coreProperties>
</file>